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F7" w:rsidRDefault="00F13EF7" w:rsidP="009509DE">
      <w:pPr>
        <w:pStyle w:val="a8"/>
        <w:rPr>
          <w:sz w:val="24"/>
          <w:szCs w:val="24"/>
        </w:rPr>
      </w:pPr>
    </w:p>
    <w:p w:rsidR="009509DE" w:rsidRPr="00A30FAF" w:rsidRDefault="009509DE" w:rsidP="009509DE">
      <w:pPr>
        <w:pStyle w:val="a8"/>
        <w:rPr>
          <w:sz w:val="24"/>
          <w:szCs w:val="24"/>
        </w:rPr>
      </w:pPr>
      <w:r w:rsidRPr="00A30FAF">
        <w:rPr>
          <w:sz w:val="24"/>
          <w:szCs w:val="24"/>
        </w:rPr>
        <w:t xml:space="preserve">Приложение № </w:t>
      </w:r>
      <w:r w:rsidR="007F334A">
        <w:rPr>
          <w:sz w:val="24"/>
          <w:szCs w:val="24"/>
        </w:rPr>
        <w:t>3</w:t>
      </w:r>
    </w:p>
    <w:p w:rsidR="009509DE" w:rsidRPr="00A30FAF" w:rsidRDefault="009509DE" w:rsidP="009509DE">
      <w:pPr>
        <w:pStyle w:val="a8"/>
        <w:rPr>
          <w:sz w:val="24"/>
          <w:szCs w:val="24"/>
        </w:rPr>
      </w:pPr>
      <w:r w:rsidRPr="00A30FAF">
        <w:rPr>
          <w:sz w:val="24"/>
          <w:szCs w:val="24"/>
        </w:rPr>
        <w:t>Таблица 4</w:t>
      </w:r>
    </w:p>
    <w:tbl>
      <w:tblPr>
        <w:tblStyle w:val="a3"/>
        <w:tblW w:w="151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0"/>
        <w:gridCol w:w="8778"/>
        <w:gridCol w:w="1418"/>
        <w:gridCol w:w="1417"/>
        <w:gridCol w:w="265"/>
      </w:tblGrid>
      <w:tr w:rsidR="001E7B68" w:rsidRPr="00A30FAF" w:rsidTr="00C735AD">
        <w:trPr>
          <w:trHeight w:val="315"/>
        </w:trPr>
        <w:tc>
          <w:tcPr>
            <w:tcW w:w="15149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092ABA" w:rsidRDefault="001E7B68" w:rsidP="00092ABA">
            <w:pPr>
              <w:pStyle w:val="ad"/>
              <w:spacing w:after="0"/>
              <w:rPr>
                <w:bCs/>
                <w:sz w:val="24"/>
                <w:szCs w:val="24"/>
              </w:rPr>
            </w:pPr>
            <w:r w:rsidRPr="00A30FAF">
              <w:rPr>
                <w:bCs/>
                <w:sz w:val="24"/>
                <w:szCs w:val="24"/>
              </w:rPr>
              <w:t xml:space="preserve">Сведения об основных мерах правового регулирования в сфере реализации </w:t>
            </w:r>
          </w:p>
          <w:p w:rsidR="00076EBE" w:rsidRPr="00092ABA" w:rsidRDefault="00092ABA" w:rsidP="00092ABA">
            <w:pPr>
              <w:pStyle w:val="ad"/>
              <w:spacing w:after="0"/>
              <w:rPr>
                <w:bCs/>
                <w:sz w:val="24"/>
                <w:szCs w:val="24"/>
              </w:rPr>
            </w:pPr>
            <w:r w:rsidRPr="000B0B80">
              <w:rPr>
                <w:sz w:val="24"/>
                <w:szCs w:val="24"/>
              </w:rPr>
              <w:t>Государственной программы</w:t>
            </w:r>
            <w:r>
              <w:rPr>
                <w:sz w:val="24"/>
                <w:szCs w:val="24"/>
              </w:rPr>
              <w:t xml:space="preserve"> РФ</w:t>
            </w:r>
            <w:r w:rsidRPr="000B0B80">
              <w:rPr>
                <w:sz w:val="24"/>
                <w:szCs w:val="24"/>
              </w:rPr>
              <w:t xml:space="preserve"> </w:t>
            </w:r>
            <w:r w:rsidRPr="00092ABA">
              <w:rPr>
                <w:sz w:val="24"/>
                <w:szCs w:val="24"/>
              </w:rPr>
              <w:t>«Управление государственными финансами и государственным долгом»</w:t>
            </w:r>
          </w:p>
          <w:p w:rsidR="009509DE" w:rsidRPr="00A30FAF" w:rsidRDefault="009509DE" w:rsidP="009509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7B68" w:rsidRPr="00A30FAF" w:rsidTr="00B91592">
        <w:trPr>
          <w:gridAfter w:val="1"/>
          <w:wAfter w:w="265" w:type="dxa"/>
          <w:trHeight w:val="825"/>
        </w:trPr>
        <w:tc>
          <w:tcPr>
            <w:tcW w:w="709" w:type="dxa"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62" w:type="dxa"/>
            <w:gridSpan w:val="2"/>
            <w:hideMark/>
          </w:tcPr>
          <w:p w:rsidR="00542258" w:rsidRDefault="0054225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258" w:rsidRDefault="0054225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8778" w:type="dxa"/>
            <w:hideMark/>
          </w:tcPr>
          <w:p w:rsidR="00542258" w:rsidRDefault="0054225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258" w:rsidRDefault="0054225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418" w:type="dxa"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ственный исполн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соиспо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нители</w:t>
            </w:r>
          </w:p>
        </w:tc>
        <w:tc>
          <w:tcPr>
            <w:tcW w:w="1417" w:type="dxa"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сроки принятия</w:t>
            </w:r>
          </w:p>
        </w:tc>
      </w:tr>
      <w:tr w:rsidR="001E7B68" w:rsidRPr="00A30FAF" w:rsidTr="00B91592">
        <w:trPr>
          <w:gridAfter w:val="1"/>
          <w:wAfter w:w="265" w:type="dxa"/>
          <w:trHeight w:val="255"/>
        </w:trPr>
        <w:tc>
          <w:tcPr>
            <w:tcW w:w="709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2" w:type="dxa"/>
            <w:gridSpan w:val="2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8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757A" w:rsidRPr="00A30FAF" w:rsidTr="00232339">
        <w:trPr>
          <w:gridAfter w:val="1"/>
          <w:wAfter w:w="265" w:type="dxa"/>
          <w:trHeight w:val="255"/>
        </w:trPr>
        <w:tc>
          <w:tcPr>
            <w:tcW w:w="709" w:type="dxa"/>
            <w:noWrap/>
            <w:hideMark/>
          </w:tcPr>
          <w:p w:rsidR="00AD757A" w:rsidRPr="00A30FAF" w:rsidRDefault="00AD757A" w:rsidP="00AD7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5" w:type="dxa"/>
            <w:gridSpan w:val="5"/>
            <w:noWrap/>
            <w:hideMark/>
          </w:tcPr>
          <w:p w:rsidR="00C910CE" w:rsidRDefault="00AD757A" w:rsidP="00AD75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D757A" w:rsidRPr="00C735AD" w:rsidRDefault="00AD757A" w:rsidP="00AD757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D757A">
              <w:rPr>
                <w:rFonts w:ascii="Times New Roman" w:hAnsi="Times New Roman" w:cs="Times New Roman"/>
                <w:b/>
                <w:sz w:val="24"/>
                <w:szCs w:val="24"/>
              </w:rPr>
              <w:t>Долгосрочное финансовое планирование</w:t>
            </w:r>
          </w:p>
        </w:tc>
      </w:tr>
      <w:tr w:rsidR="00AD757A" w:rsidRPr="00A30FAF" w:rsidTr="00232339">
        <w:trPr>
          <w:gridAfter w:val="1"/>
          <w:wAfter w:w="265" w:type="dxa"/>
          <w:trHeight w:val="255"/>
        </w:trPr>
        <w:tc>
          <w:tcPr>
            <w:tcW w:w="709" w:type="dxa"/>
            <w:noWrap/>
          </w:tcPr>
          <w:p w:rsidR="00AD757A" w:rsidRPr="00A30FAF" w:rsidRDefault="00AD757A" w:rsidP="00AD7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noWrap/>
          </w:tcPr>
          <w:p w:rsidR="00AD757A" w:rsidRDefault="00AD757A" w:rsidP="00542258">
            <w:pPr>
              <w:pStyle w:val="a8"/>
              <w:spacing w:before="0"/>
              <w:jc w:val="center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1.2.</w:t>
            </w:r>
          </w:p>
          <w:p w:rsidR="00542258" w:rsidRDefault="00AD757A" w:rsidP="00542258">
            <w:pPr>
              <w:pStyle w:val="a8"/>
              <w:spacing w:before="0"/>
              <w:jc w:val="center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t xml:space="preserve">Разработка инструментов синхронизации государственного стратегического планирования, среднесрочного и долгосрочного </w:t>
            </w:r>
          </w:p>
          <w:p w:rsidR="00AD757A" w:rsidRPr="00A30FAF" w:rsidRDefault="00AD757A" w:rsidP="00542258">
            <w:pPr>
              <w:pStyle w:val="a8"/>
              <w:spacing w:before="0"/>
              <w:jc w:val="center"/>
              <w:rPr>
                <w:iCs/>
                <w:sz w:val="24"/>
                <w:szCs w:val="24"/>
                <w:lang w:eastAsia="ru-RU"/>
              </w:rPr>
            </w:pPr>
            <w:r w:rsidRPr="00B8063B">
              <w:rPr>
                <w:sz w:val="24"/>
                <w:szCs w:val="24"/>
              </w:rPr>
              <w:t>финансового планирования, разработка, внедрение и мониторинг эффективности применения фискальных правил</w:t>
            </w:r>
          </w:p>
        </w:tc>
      </w:tr>
      <w:tr w:rsidR="00AD757A" w:rsidRPr="00A30FAF" w:rsidTr="002D184C">
        <w:trPr>
          <w:gridAfter w:val="1"/>
          <w:wAfter w:w="265" w:type="dxa"/>
          <w:trHeight w:val="857"/>
        </w:trPr>
        <w:tc>
          <w:tcPr>
            <w:tcW w:w="709" w:type="dxa"/>
            <w:noWrap/>
          </w:tcPr>
          <w:p w:rsidR="00AD757A" w:rsidRPr="00453194" w:rsidRDefault="00AD757A" w:rsidP="00AD757A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AD757A" w:rsidRPr="00A30FAF" w:rsidRDefault="00AD757A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</w:tcPr>
          <w:p w:rsidR="00AD757A" w:rsidRPr="00A30FAF" w:rsidRDefault="00AD757A" w:rsidP="00C910C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D757A">
              <w:rPr>
                <w:rFonts w:ascii="Times New Roman" w:hAnsi="Times New Roman"/>
                <w:sz w:val="24"/>
                <w:szCs w:val="24"/>
              </w:rPr>
              <w:t>О внесении изменений в Бюджетный кодекс Российской Федерации и отдельные законодательные акты Российской Федерации в части  использования нефтегаз</w:t>
            </w:r>
            <w:r w:rsidRPr="00AD757A">
              <w:rPr>
                <w:rFonts w:ascii="Times New Roman" w:hAnsi="Times New Roman"/>
                <w:sz w:val="24"/>
                <w:szCs w:val="24"/>
              </w:rPr>
              <w:t>о</w:t>
            </w:r>
            <w:r w:rsidRPr="00AD757A">
              <w:rPr>
                <w:rFonts w:ascii="Times New Roman" w:hAnsi="Times New Roman"/>
                <w:sz w:val="24"/>
                <w:szCs w:val="24"/>
              </w:rPr>
              <w:t>вых доходов федерального бюджета</w:t>
            </w:r>
            <w:r w:rsidR="00D17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D757A" w:rsidRPr="00A30FAF" w:rsidRDefault="00AD757A" w:rsidP="00AD75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AD757A" w:rsidRPr="00A30FAF" w:rsidRDefault="00AD757A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1E7B68" w:rsidRPr="00A30FAF" w:rsidTr="00232339">
        <w:trPr>
          <w:gridAfter w:val="1"/>
          <w:wAfter w:w="265" w:type="dxa"/>
          <w:trHeight w:val="255"/>
        </w:trPr>
        <w:tc>
          <w:tcPr>
            <w:tcW w:w="709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5" w:type="dxa"/>
            <w:gridSpan w:val="5"/>
            <w:noWrap/>
            <w:hideMark/>
          </w:tcPr>
          <w:p w:rsidR="00C910CE" w:rsidRDefault="00A30FAF" w:rsidP="004227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2. </w:t>
            </w:r>
          </w:p>
          <w:p w:rsidR="004227EF" w:rsidRPr="00C735AD" w:rsidRDefault="00A30FAF" w:rsidP="004227E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</w:p>
        </w:tc>
      </w:tr>
      <w:tr w:rsidR="00A30FAF" w:rsidRPr="00A30FAF" w:rsidTr="00232339">
        <w:trPr>
          <w:gridAfter w:val="1"/>
          <w:wAfter w:w="265" w:type="dxa"/>
          <w:trHeight w:val="255"/>
        </w:trPr>
        <w:tc>
          <w:tcPr>
            <w:tcW w:w="709" w:type="dxa"/>
            <w:noWrap/>
          </w:tcPr>
          <w:p w:rsidR="00A30FAF" w:rsidRPr="00A30FAF" w:rsidRDefault="00A30FAF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5"/>
            <w:noWrap/>
          </w:tcPr>
          <w:p w:rsidR="00C910CE" w:rsidRDefault="00A30FAF" w:rsidP="00C910CE">
            <w:pPr>
              <w:pStyle w:val="a8"/>
              <w:jc w:val="center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2.1.</w:t>
            </w:r>
          </w:p>
          <w:p w:rsidR="00A30FAF" w:rsidRPr="00A30FAF" w:rsidRDefault="00A30FAF" w:rsidP="009437CA">
            <w:pPr>
              <w:pStyle w:val="a8"/>
              <w:jc w:val="center"/>
              <w:rPr>
                <w:iCs/>
                <w:sz w:val="24"/>
                <w:szCs w:val="24"/>
                <w:lang w:eastAsia="ru-RU"/>
              </w:rPr>
            </w:pPr>
            <w:r w:rsidRPr="00F52018">
              <w:rPr>
                <w:sz w:val="24"/>
                <w:szCs w:val="24"/>
              </w:rPr>
              <w:t>Нормативное правовое регулирование в сфере бюджетного процесса и совершенствование бюджетного законодательства</w:t>
            </w:r>
          </w:p>
        </w:tc>
      </w:tr>
      <w:tr w:rsidR="00DF26F6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F26F6" w:rsidRPr="00453194" w:rsidRDefault="00DF26F6" w:rsidP="00DF26F6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F26F6" w:rsidRPr="00A30FAF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</w:tcPr>
          <w:p w:rsidR="00DF26F6" w:rsidRPr="00A30FAF" w:rsidRDefault="00DF26F6" w:rsidP="00C91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федерального закона о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Бюджетный к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>декс Российской Федерации в части совершенствования бюджетного процесса и в отдельные 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акты Российской Федерации, направленных на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 xml:space="preserve"> созд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6A04">
              <w:rPr>
                <w:rFonts w:ascii="Times New Roman" w:hAnsi="Times New Roman" w:cs="Times New Roman"/>
                <w:sz w:val="24"/>
                <w:szCs w:val="24"/>
              </w:rPr>
              <w:t>ние правовой базы для перехода  к формированию бюджетов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но-целевого принципа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F26F6" w:rsidRPr="00A30FAF" w:rsidRDefault="00DF26F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A30FAF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F26F6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F26F6" w:rsidRPr="00453194" w:rsidRDefault="00DF26F6" w:rsidP="00DF26F6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B385A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  <w:p w:rsidR="00DF26F6" w:rsidRPr="00A30FAF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РФ об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нистративных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нарушениях</w:t>
            </w:r>
          </w:p>
        </w:tc>
        <w:tc>
          <w:tcPr>
            <w:tcW w:w="8788" w:type="dxa"/>
            <w:gridSpan w:val="2"/>
            <w:noWrap/>
          </w:tcPr>
          <w:p w:rsidR="00DF26F6" w:rsidRPr="00A30FAF" w:rsidRDefault="00DF26F6" w:rsidP="00C91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федерального закона о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 xml:space="preserve"> внесении изменений в Бюджетный к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декс Российской Федерации и Кодекс Российской Федерации об администрати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ных правонарушениях в части регулирования государственного и муниципального финансового контроля и ответственности за нарушение бюджетного законод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предусматривающих 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мы государственного и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ответственности за нарушение бюджетного законодательства Российской Федерации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>, необходимое для повышения качества управления общественными финансами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DF26F6" w:rsidRPr="00A30FAF" w:rsidRDefault="00DF26F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A30FAF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F26F6" w:rsidRPr="00A30FAF" w:rsidTr="00B91592">
        <w:trPr>
          <w:gridAfter w:val="1"/>
          <w:wAfter w:w="265" w:type="dxa"/>
          <w:trHeight w:val="48"/>
        </w:trPr>
        <w:tc>
          <w:tcPr>
            <w:tcW w:w="709" w:type="dxa"/>
            <w:noWrap/>
          </w:tcPr>
          <w:p w:rsidR="00DF26F6" w:rsidRPr="00453194" w:rsidRDefault="00DF26F6" w:rsidP="00DF26F6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F26F6" w:rsidRPr="00A30FAF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</w:tcPr>
          <w:p w:rsidR="00DF26F6" w:rsidRPr="00A30FAF" w:rsidRDefault="00DF26F6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 федерального закона о</w:t>
            </w:r>
            <w:r w:rsidRPr="00A02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внесении изменений в Бюджетный к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декс Российской Федерации и отдельные законодательные акты Российской Фед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рации в части  изменения механизма использования нефтегазовых доходов фед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предусматривающих 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установление бюджетных правил испол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зования нефтегазовых доходов федерального бюджета, формирования и использ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6DA7">
              <w:rPr>
                <w:rFonts w:ascii="Times New Roman" w:hAnsi="Times New Roman" w:cs="Times New Roman"/>
                <w:sz w:val="24"/>
                <w:szCs w:val="24"/>
              </w:rPr>
              <w:t xml:space="preserve">вания средств Резервного фонда и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национального благосостояния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F26F6" w:rsidRPr="00A30FAF" w:rsidRDefault="00DF26F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A30FAF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F26F6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  <w:hideMark/>
          </w:tcPr>
          <w:p w:rsidR="00DF26F6" w:rsidRPr="00453194" w:rsidRDefault="00DF26F6" w:rsidP="00DF26F6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hideMark/>
          </w:tcPr>
          <w:p w:rsidR="00DF26F6" w:rsidRPr="00A30FAF" w:rsidRDefault="00DF26F6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  <w:hideMark/>
          </w:tcPr>
          <w:p w:rsidR="00DF26F6" w:rsidRPr="00A30FAF" w:rsidRDefault="00DF26F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федерального закона о внесении  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декс Российской Федерации об установлении временного предела для увеличенн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срока исковой давности (законопроект направлен  на реализацию Постановл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Конституционного Суда от 20 июля 2012 г. № 20-П)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DF26F6" w:rsidRPr="00A30FAF" w:rsidRDefault="00DF26F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  <w:hideMark/>
          </w:tcPr>
          <w:p w:rsidR="00DF26F6" w:rsidRPr="00A30FAF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F26F6" w:rsidRPr="00A30FAF" w:rsidTr="00B91592">
        <w:trPr>
          <w:gridAfter w:val="1"/>
          <w:wAfter w:w="265" w:type="dxa"/>
          <w:trHeight w:val="451"/>
        </w:trPr>
        <w:tc>
          <w:tcPr>
            <w:tcW w:w="709" w:type="dxa"/>
            <w:noWrap/>
          </w:tcPr>
          <w:p w:rsidR="00DF26F6" w:rsidRPr="00453194" w:rsidRDefault="00DF26F6" w:rsidP="00DF26F6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F26F6" w:rsidRPr="00A30FAF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</w:tcPr>
          <w:p w:rsidR="00DF26F6" w:rsidRPr="00A30FAF" w:rsidRDefault="00DF26F6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федерального закона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 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декс Российской Федерации с целью создания правовых оснований для 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из соответствующего бюджета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субсидий (грантов) организациям.</w:t>
            </w:r>
          </w:p>
        </w:tc>
        <w:tc>
          <w:tcPr>
            <w:tcW w:w="1418" w:type="dxa"/>
          </w:tcPr>
          <w:p w:rsidR="00DF26F6" w:rsidRPr="00A30FAF" w:rsidRDefault="00DF26F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A30FAF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C1563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C1563" w:rsidRPr="00DC1563" w:rsidRDefault="00DC1563" w:rsidP="00C735AD">
            <w:pPr>
              <w:pStyle w:val="ab"/>
              <w:numPr>
                <w:ilvl w:val="0"/>
                <w:numId w:val="1"/>
              </w:numPr>
              <w:spacing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DC1563" w:rsidRPr="00A30FAF" w:rsidRDefault="00DC1563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Бюджетный кодекс РФ</w:t>
            </w:r>
          </w:p>
        </w:tc>
        <w:tc>
          <w:tcPr>
            <w:tcW w:w="8788" w:type="dxa"/>
            <w:gridSpan w:val="2"/>
            <w:noWrap/>
          </w:tcPr>
          <w:p w:rsidR="00DC1563" w:rsidRPr="00175CD6" w:rsidRDefault="00DC1563" w:rsidP="00C910C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Бюджетный кодекс Российской Федерации и Кодекс Российской Федерации об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тивных правонарушениях в части регулирования государственного 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финансового контроля и ответственности за нарушение бюджетного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дательства Российской Федерации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нацеленного на развитие системы </w:t>
            </w:r>
            <w:r w:rsidRPr="00BD34BD">
              <w:rPr>
                <w:rFonts w:ascii="Times New Roman" w:hAnsi="Times New Roman" w:cs="Times New Roman"/>
                <w:sz w:val="24"/>
                <w:szCs w:val="24"/>
              </w:rPr>
              <w:t>госуда</w:t>
            </w:r>
            <w:r w:rsidRPr="00BD34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D34BD">
              <w:rPr>
                <w:rFonts w:ascii="Times New Roman" w:hAnsi="Times New Roman" w:cs="Times New Roman"/>
                <w:sz w:val="24"/>
                <w:szCs w:val="24"/>
              </w:rPr>
              <w:t>ственного и муниципального финансового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необходимой для повышения качества управления общественными финансами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DC1563" w:rsidRPr="00A30FAF" w:rsidRDefault="00DC156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C1563" w:rsidRPr="00A30FAF" w:rsidRDefault="00DC156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2012  </w:t>
            </w:r>
          </w:p>
        </w:tc>
      </w:tr>
      <w:tr w:rsidR="00DC1563" w:rsidRPr="00A30FAF" w:rsidTr="00C910CE">
        <w:trPr>
          <w:gridAfter w:val="1"/>
          <w:wAfter w:w="265" w:type="dxa"/>
          <w:trHeight w:val="894"/>
        </w:trPr>
        <w:tc>
          <w:tcPr>
            <w:tcW w:w="709" w:type="dxa"/>
            <w:noWrap/>
            <w:hideMark/>
          </w:tcPr>
          <w:p w:rsidR="00DC1563" w:rsidRPr="00DC1563" w:rsidRDefault="00DC1563" w:rsidP="00C735AD">
            <w:pPr>
              <w:pStyle w:val="ab"/>
              <w:numPr>
                <w:ilvl w:val="0"/>
                <w:numId w:val="1"/>
              </w:numPr>
              <w:spacing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hideMark/>
          </w:tcPr>
          <w:p w:rsidR="00DC1563" w:rsidRPr="00A30FAF" w:rsidRDefault="00DC1563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РФ</w:t>
            </w:r>
          </w:p>
        </w:tc>
        <w:tc>
          <w:tcPr>
            <w:tcW w:w="8788" w:type="dxa"/>
            <w:gridSpan w:val="2"/>
            <w:noWrap/>
            <w:hideMark/>
          </w:tcPr>
          <w:p w:rsidR="00DC1563" w:rsidRPr="00A30FAF" w:rsidRDefault="00DC156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постановления Правительства Российской Федерации «О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рядке осуществления внутреннего финансового контроля и внутреннего финанс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аудита»</w:t>
            </w:r>
            <w:r w:rsidR="00D17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hideMark/>
          </w:tcPr>
          <w:p w:rsidR="00DC1563" w:rsidRPr="00A30FAF" w:rsidRDefault="00DC156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  <w:hideMark/>
          </w:tcPr>
          <w:p w:rsidR="00DC1563" w:rsidRPr="00A30FAF" w:rsidRDefault="00DC156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DF26F6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F26F6" w:rsidRDefault="00DF26F6" w:rsidP="00C735AD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6F6" w:rsidRPr="00DF26F6" w:rsidRDefault="00DF26F6" w:rsidP="00DF26F6">
            <w:pPr>
              <w:tabs>
                <w:tab w:val="left" w:pos="601"/>
              </w:tabs>
              <w:rPr>
                <w:lang w:eastAsia="ru-RU"/>
              </w:rPr>
            </w:pPr>
          </w:p>
        </w:tc>
        <w:tc>
          <w:tcPr>
            <w:tcW w:w="2552" w:type="dxa"/>
          </w:tcPr>
          <w:p w:rsidR="00DF26F6" w:rsidRPr="00A30FAF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РФ</w:t>
            </w:r>
          </w:p>
        </w:tc>
        <w:tc>
          <w:tcPr>
            <w:tcW w:w="8788" w:type="dxa"/>
            <w:gridSpan w:val="2"/>
            <w:noWrap/>
          </w:tcPr>
          <w:p w:rsidR="00DF26F6" w:rsidRPr="00A30FAF" w:rsidRDefault="00DF26F6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порядка ведения реестра расходных обязательств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формы в целях реализации Программы Правительства Российской Фед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рации по повышению эффективности бюджетных расходов на период до 2012 года</w:t>
            </w:r>
            <w:r w:rsidR="00B9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(утв. распоряжением Правительства Российской Федерации</w:t>
            </w:r>
            <w:r w:rsidR="00B9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30 июня 2010 г. № 1101-р)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F26F6" w:rsidRPr="00A30FAF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3F2A20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2012 </w:t>
            </w:r>
          </w:p>
        </w:tc>
      </w:tr>
      <w:tr w:rsidR="00DF26F6" w:rsidRPr="003F2A20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F26F6" w:rsidRPr="00DF26F6" w:rsidRDefault="00232339" w:rsidP="0023233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DF26F6" w:rsidRPr="003F2A20" w:rsidRDefault="00DF26F6" w:rsidP="00BB3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вительства РФ</w:t>
            </w:r>
          </w:p>
        </w:tc>
        <w:tc>
          <w:tcPr>
            <w:tcW w:w="8788" w:type="dxa"/>
            <w:gridSpan w:val="2"/>
            <w:noWrap/>
          </w:tcPr>
          <w:p w:rsidR="00DF26F6" w:rsidRPr="003F2A20" w:rsidRDefault="00DF26F6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порядок составления проекта федерального бюджета и бюджетов государственных внебюджетных фондов на очередной финансовый год и на плановый период в связи с переходом на формирование федерального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та, имеющего программную структуру расходов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F26F6" w:rsidRPr="003F2A20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DF26F6" w:rsidRPr="003F2A20" w:rsidRDefault="00DF26F6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2012 </w:t>
            </w:r>
          </w:p>
        </w:tc>
      </w:tr>
      <w:tr w:rsidR="00DC1563" w:rsidRPr="00A30FAF" w:rsidTr="00D17F8E">
        <w:trPr>
          <w:gridAfter w:val="1"/>
          <w:wAfter w:w="265" w:type="dxa"/>
          <w:trHeight w:val="898"/>
        </w:trPr>
        <w:tc>
          <w:tcPr>
            <w:tcW w:w="709" w:type="dxa"/>
            <w:noWrap/>
          </w:tcPr>
          <w:p w:rsidR="00DC1563" w:rsidRPr="00DF26F6" w:rsidRDefault="00232339" w:rsidP="00232339">
            <w:pPr>
              <w:pStyle w:val="ab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</w:tcPr>
          <w:p w:rsidR="00A73AFC" w:rsidRDefault="00DC1563" w:rsidP="005C5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Минфина </w:t>
            </w:r>
          </w:p>
          <w:p w:rsidR="00DC1563" w:rsidRPr="003F2A20" w:rsidRDefault="00DC1563" w:rsidP="005C5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8788" w:type="dxa"/>
            <w:gridSpan w:val="2"/>
            <w:noWrap/>
          </w:tcPr>
          <w:p w:rsidR="00DC1563" w:rsidRPr="003F2A20" w:rsidRDefault="00DC1563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состава сведений, необходимых для формирования и ведения реестра расходных обязательств Российской Федерации, порядка составления реестра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ходных обязательств и внесения в него изменений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DC1563" w:rsidRDefault="00DC1563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DC1563" w:rsidRPr="003F2A20" w:rsidRDefault="00DC1563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DC1563" w:rsidRPr="00C910CE" w:rsidRDefault="00C910CE" w:rsidP="00C910C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</w:tr>
      <w:tr w:rsidR="00DF26F6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DF26F6" w:rsidRPr="00232339" w:rsidRDefault="00232339" w:rsidP="0023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2" w:type="dxa"/>
          </w:tcPr>
          <w:p w:rsidR="00A73AFC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Минфина </w:t>
            </w:r>
          </w:p>
          <w:p w:rsidR="00E8694A" w:rsidRPr="00C735AD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  <w:p w:rsidR="00DF26F6" w:rsidRPr="00C735AD" w:rsidRDefault="00DF26F6" w:rsidP="005C5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2"/>
            <w:noWrap/>
          </w:tcPr>
          <w:p w:rsidR="00DF26F6" w:rsidRPr="003F2A20" w:rsidRDefault="00E8694A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8694A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Приказа Минфина России "О перечислении остатков средств государственных учреждений субъектов РФ (муниципальных учреждений) с соо</w:t>
            </w:r>
            <w:r w:rsidRPr="00E869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8694A">
              <w:rPr>
                <w:rFonts w:ascii="Times New Roman" w:hAnsi="Times New Roman" w:cs="Times New Roman"/>
                <w:sz w:val="24"/>
                <w:szCs w:val="24"/>
              </w:rPr>
              <w:t>ветствующих счетов территориальных органов Федерального казначейства, ф</w:t>
            </w:r>
            <w:r w:rsidRPr="00E869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94A">
              <w:rPr>
                <w:rFonts w:ascii="Times New Roman" w:hAnsi="Times New Roman" w:cs="Times New Roman"/>
                <w:sz w:val="24"/>
                <w:szCs w:val="24"/>
              </w:rPr>
              <w:t>нансовых органов субъектов РФ (муниципальных образований),  открытых в учреждениях Центрального банка РФ в соответствии с законодательством РФ для отражения операций со средствами государственных учреждений субъектов РФ (муниципальных учреждений), в бюджеты субъектов РФ (местные бюджеты), а также их возврата</w:t>
            </w:r>
            <w:proofErr w:type="gramEnd"/>
            <w:r w:rsidRPr="00E8694A">
              <w:rPr>
                <w:rFonts w:ascii="Times New Roman" w:hAnsi="Times New Roman" w:cs="Times New Roman"/>
                <w:sz w:val="24"/>
                <w:szCs w:val="24"/>
              </w:rPr>
              <w:t xml:space="preserve"> на указанные счета"</w:t>
            </w:r>
            <w:r w:rsidR="00D17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DF26F6" w:rsidRPr="003F2A20" w:rsidRDefault="00DF26F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DF26F6" w:rsidRPr="003F2A20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8694A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E8694A" w:rsidRPr="00232339" w:rsidRDefault="00232339" w:rsidP="00232339">
            <w:pPr>
              <w:rPr>
                <w:lang w:eastAsia="ru-RU"/>
              </w:rPr>
            </w:pPr>
            <w:r>
              <w:rPr>
                <w:lang w:eastAsia="ru-RU"/>
              </w:rPr>
              <w:t>13.</w:t>
            </w:r>
          </w:p>
        </w:tc>
        <w:tc>
          <w:tcPr>
            <w:tcW w:w="2552" w:type="dxa"/>
          </w:tcPr>
          <w:p w:rsidR="00A73AFC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Минфина </w:t>
            </w:r>
          </w:p>
          <w:p w:rsidR="00E8694A" w:rsidRPr="00C735AD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  <w:p w:rsidR="00E8694A" w:rsidRPr="00C735AD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  <w:noWrap/>
          </w:tcPr>
          <w:p w:rsidR="00E8694A" w:rsidRPr="00A30FAF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Приказа Минфина России "О внесении изменений в правила обеспечения наличными деньгами организаций, лицевые счета которым открыты в территориальных органах Федерального казначейства", утвержденные приказом Минфина России от 31.12.2010 № 199н"</w:t>
            </w:r>
            <w:r w:rsidR="00D17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E8694A" w:rsidRPr="00A30FAF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E8694A" w:rsidRPr="00A30FAF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8694A" w:rsidRPr="00C735AD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E8694A" w:rsidRPr="00232339" w:rsidRDefault="00232339" w:rsidP="0023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2" w:type="dxa"/>
          </w:tcPr>
          <w:p w:rsidR="00A73AFC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Минфина </w:t>
            </w:r>
          </w:p>
          <w:p w:rsidR="00E8694A" w:rsidRPr="00C735AD" w:rsidRDefault="00E8694A" w:rsidP="00E869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  <w:p w:rsidR="00E8694A" w:rsidRPr="00C735AD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gridSpan w:val="2"/>
            <w:noWrap/>
          </w:tcPr>
          <w:p w:rsidR="00E8694A" w:rsidRPr="00C735AD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Приказа Минфина России "О внесении изменений в порядок  доведения бюджетных ассигнований, лимитов бюджетных обязатель</w:t>
            </w:r>
            <w:proofErr w:type="gramStart"/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пр</w:t>
            </w:r>
            <w:proofErr w:type="gramEnd"/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орг</w:t>
            </w: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низации исполнения федерального бюджета по расходам и источникам финанс</w:t>
            </w: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дефицита федерального бюджета и передачи бюджетных ассигнований, лимитов бюджетных обязательств при реорганизации участников бюджетного процесса федерального уровня", утвержденный приказом Минфина России от 30.09.2008 № 104н"</w:t>
            </w:r>
            <w:r w:rsidR="00D17F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E8694A" w:rsidRPr="00C735AD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E8694A" w:rsidRPr="00C735AD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8694A" w:rsidRPr="00A30FAF" w:rsidTr="00A73AFC">
        <w:trPr>
          <w:gridAfter w:val="1"/>
          <w:wAfter w:w="265" w:type="dxa"/>
          <w:trHeight w:val="690"/>
        </w:trPr>
        <w:tc>
          <w:tcPr>
            <w:tcW w:w="709" w:type="dxa"/>
            <w:noWrap/>
          </w:tcPr>
          <w:p w:rsidR="00E8694A" w:rsidRPr="00232339" w:rsidRDefault="00232339" w:rsidP="0023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552" w:type="dxa"/>
          </w:tcPr>
          <w:p w:rsidR="00E8694A" w:rsidRPr="00A30FAF" w:rsidRDefault="00E8694A" w:rsidP="00D17F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D17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РФ</w:t>
            </w:r>
          </w:p>
        </w:tc>
        <w:tc>
          <w:tcPr>
            <w:tcW w:w="8788" w:type="dxa"/>
            <w:gridSpan w:val="2"/>
            <w:noWrap/>
          </w:tcPr>
          <w:p w:rsidR="00E8694A" w:rsidRPr="00E8694A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Постановления Правительства РФ "О мерах по реализации ФЗ "О федеральном бюджете на 2013 года и на плановый период 2014 и 2015 годов"</w:t>
            </w:r>
            <w:r w:rsidR="00A73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E8694A" w:rsidRPr="00A30FAF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E8694A" w:rsidRPr="00A30FAF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E8694A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E8694A" w:rsidRPr="00232339" w:rsidRDefault="00232339" w:rsidP="0023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2" w:type="dxa"/>
          </w:tcPr>
          <w:p w:rsidR="00A73AFC" w:rsidRDefault="00E8694A" w:rsidP="00A73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Минфина </w:t>
            </w:r>
          </w:p>
          <w:p w:rsidR="00E8694A" w:rsidRPr="00E8694A" w:rsidRDefault="00E8694A" w:rsidP="00A73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8788" w:type="dxa"/>
            <w:gridSpan w:val="2"/>
            <w:noWrap/>
          </w:tcPr>
          <w:p w:rsidR="00E8694A" w:rsidRPr="00E8694A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Приказа Минфина России "О внесении изменений в Порядок составления и ведения кассового плана исполнения федерального бюджета в т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кущем финансовом году, утвержденный приказом Минфина России </w:t>
            </w:r>
          </w:p>
          <w:p w:rsidR="00E8694A" w:rsidRPr="00A30FAF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27.11.2007 № 120н"</w:t>
            </w:r>
            <w:r w:rsidR="00A73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E8694A" w:rsidRPr="00A30FAF" w:rsidRDefault="00E8694A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E8694A" w:rsidRPr="00A30FAF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A30FAF" w:rsidRPr="00A30FAF" w:rsidTr="00B91592">
        <w:trPr>
          <w:gridAfter w:val="1"/>
          <w:wAfter w:w="265" w:type="dxa"/>
          <w:trHeight w:val="1215"/>
        </w:trPr>
        <w:tc>
          <w:tcPr>
            <w:tcW w:w="709" w:type="dxa"/>
            <w:noWrap/>
          </w:tcPr>
          <w:p w:rsidR="00A30FAF" w:rsidRPr="00232339" w:rsidRDefault="00232339" w:rsidP="002323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2" w:type="dxa"/>
          </w:tcPr>
          <w:p w:rsidR="00A73AFC" w:rsidRDefault="00E8694A" w:rsidP="00A73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</w:t>
            </w:r>
            <w:r w:rsidR="00A73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Минфина </w:t>
            </w:r>
          </w:p>
          <w:p w:rsidR="00A30FAF" w:rsidRPr="00E8694A" w:rsidRDefault="00E8694A" w:rsidP="00A73A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8788" w:type="dxa"/>
            <w:gridSpan w:val="2"/>
            <w:noWrap/>
          </w:tcPr>
          <w:p w:rsidR="00A30FAF" w:rsidRPr="00C735AD" w:rsidRDefault="00E8694A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5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приказа Минфина России «О внесении изменений в приказ Министерства финансов Российской Федерации от 23 апреля 2009 г. № 36н»</w:t>
            </w:r>
          </w:p>
        </w:tc>
        <w:tc>
          <w:tcPr>
            <w:tcW w:w="1418" w:type="dxa"/>
          </w:tcPr>
          <w:p w:rsidR="00C735AD" w:rsidRDefault="00C735AD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A30FAF" w:rsidRPr="00A30FAF" w:rsidRDefault="00A30FAF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A30FAF" w:rsidRPr="00A30FAF" w:rsidRDefault="00E8694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</w:tbl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8788"/>
        <w:gridCol w:w="1418"/>
        <w:gridCol w:w="1417"/>
      </w:tblGrid>
      <w:tr w:rsidR="009C46C0" w:rsidRPr="00367995" w:rsidTr="0023233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79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0CE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6C0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3. </w:t>
            </w:r>
          </w:p>
          <w:p w:rsidR="009C46C0" w:rsidRP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C46C0">
              <w:rPr>
                <w:rFonts w:ascii="Times New Roman" w:hAnsi="Times New Roman"/>
                <w:b/>
                <w:sz w:val="24"/>
                <w:szCs w:val="24"/>
              </w:rPr>
              <w:t>Нормативно-методическое обеспечение и осуществление контроля и надзора в финансово-бюджетной сфере</w:t>
            </w:r>
          </w:p>
        </w:tc>
      </w:tr>
      <w:tr w:rsidR="009C46C0" w:rsidRPr="00367995" w:rsidTr="00232339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10CE" w:rsidRDefault="009C46C0" w:rsidP="00C910CE">
            <w:pPr>
              <w:pStyle w:val="a8"/>
              <w:jc w:val="center"/>
              <w:rPr>
                <w:sz w:val="24"/>
                <w:szCs w:val="24"/>
              </w:rPr>
            </w:pPr>
            <w:r w:rsidRPr="00367995">
              <w:rPr>
                <w:sz w:val="24"/>
                <w:szCs w:val="24"/>
              </w:rPr>
              <w:t>Основное мероприятие 3.1.</w:t>
            </w:r>
          </w:p>
          <w:p w:rsidR="009437CA" w:rsidRDefault="009C46C0" w:rsidP="009437CA">
            <w:pPr>
              <w:pStyle w:val="a8"/>
              <w:spacing w:before="0"/>
              <w:jc w:val="center"/>
              <w:rPr>
                <w:sz w:val="24"/>
                <w:szCs w:val="24"/>
              </w:rPr>
            </w:pPr>
            <w:r w:rsidRPr="00367995">
              <w:rPr>
                <w:sz w:val="24"/>
                <w:szCs w:val="24"/>
              </w:rPr>
              <w:t xml:space="preserve">Нормативное правовое регулирование по вопросам контроля и надзора в финансово-бюджетной сфере, </w:t>
            </w:r>
          </w:p>
          <w:p w:rsidR="009C46C0" w:rsidRPr="00367995" w:rsidRDefault="009C46C0" w:rsidP="009437CA">
            <w:pPr>
              <w:pStyle w:val="a8"/>
              <w:spacing w:before="0"/>
              <w:jc w:val="center"/>
              <w:rPr>
                <w:iCs/>
                <w:sz w:val="24"/>
                <w:szCs w:val="24"/>
                <w:lang w:eastAsia="ru-RU"/>
              </w:rPr>
            </w:pPr>
            <w:r w:rsidRPr="00367995">
              <w:rPr>
                <w:sz w:val="24"/>
                <w:szCs w:val="24"/>
              </w:rPr>
              <w:t>надзора за соблюдением законодательства Российской Федерации о финансово-бюджетном контроле и надзоре</w:t>
            </w:r>
          </w:p>
        </w:tc>
      </w:tr>
      <w:tr w:rsidR="009C46C0" w:rsidRPr="00367995" w:rsidTr="00C910CE">
        <w:trPr>
          <w:trHeight w:val="6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5A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Бюджетн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кодекс Р</w:t>
            </w:r>
            <w:r w:rsidR="00BB38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</w:p>
          <w:p w:rsidR="009C46C0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1E3B56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в главу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26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«Основы государственного и муниципального финансового контроля» Бюджетного кодекса Российской Федерации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C910CE" w:rsidRPr="00367995" w:rsidRDefault="00C910CE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2D184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9C46C0" w:rsidRPr="00367995" w:rsidTr="00A73AFC">
        <w:trPr>
          <w:trHeight w:val="8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Default="00A73AFC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>остановление Пр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>вительства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Изменение в постановление Правительства Российской Федерации от 15.06.2004 № 278 «Об утверждении Положения о Федеральной службе финансово-бюджетного надзора»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Default="009C46C0" w:rsidP="00A73AF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Минфин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9C46C0" w:rsidRPr="00367995" w:rsidTr="00B91592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FC" w:rsidRDefault="00A73AFC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иказ Минфина </w:t>
            </w:r>
          </w:p>
          <w:p w:rsidR="009C46C0" w:rsidRPr="00367995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России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1E3B56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B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изменений в приказ Минфина России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04.09.2007 № 75н «Об утве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ждении административного регламента исполнения Федеральной службой фина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сово-бюджетного надзора государственной функции по осуществлению контроля и надзора за соблюдением законодательства Российской Федерации при использ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вании средств федерального бюджета, средств государственных внебюджетных фондов, а также материальных ценностей, находящихся в федеральной собстве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ности»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Pr="00367995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9C46C0" w:rsidRPr="00367995" w:rsidTr="00B91592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AFC" w:rsidRDefault="00A73AFC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9C46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риказ Минфина </w:t>
            </w:r>
          </w:p>
          <w:p w:rsidR="009C46C0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России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1E3B56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приказа Минфина России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«Об утверждении административного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гламента  исполнения Федеральной службой финансово-бюджетного надзора 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ударственной функции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исполнением  органами государственного (муниципального) финансового контроля, созданными органами  исполнительной власти (местными администрациями муниципальных образований), законодател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ства Российской Федерации о финансово-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бюджетном контроле и надзоре».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Default="00A73AFC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367995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9C46C0" w:rsidRPr="00CF30B6" w:rsidTr="00B91592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016DA9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Pr="00016DA9" w:rsidRDefault="009C46C0" w:rsidP="009437CA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Федеральный закон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016DA9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проекта Федерального закона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«О внесении изменений в некоторые з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конодательные акты Российской Федерации (по вопросам совершенствования внешнего контроля качества работы аудиторских организаций, проводящих обяз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тельный аудит бухгалтерской (финансовой) отчетности организаций, указанных в части 3 статьи 5 Федерального закона от 30 декабря 2008 г. № 307-ФЗ «Об ауд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A73AFC"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торской деятельности»)»</w:t>
            </w:r>
            <w:r w:rsidR="00A73A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осуществляется в целях  дополнения части 4 статьи 1 Федерального закона от 26  декабря  2008</w:t>
            </w:r>
            <w:proofErr w:type="gramEnd"/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№ 294-ФЗ «О защите прав юридич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ских лиц и индивидуальных предпринимателей при осуществлении государстве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ного контроля (надзора) и муниципального контроля» видом государственного контроля (надзора) «Внешний контроль качества работы аудиторских организ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ций» для установления в Федеральном законе от 30 декабря 2008 г. № 307-ФЗ «Об аудиторской деятельности» особенностей </w:t>
            </w:r>
            <w:proofErr w:type="gramStart"/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проведения внешних проверок качества работы аудиторских организаций</w:t>
            </w:r>
            <w:proofErr w:type="gramEnd"/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46C0" w:rsidRPr="00016DA9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6DA9">
              <w:rPr>
                <w:rFonts w:ascii="Times New Roman" w:hAnsi="Times New Roman"/>
                <w:sz w:val="24"/>
                <w:szCs w:val="24"/>
                <w:lang w:eastAsia="ru-RU"/>
              </w:rPr>
              <w:t>2013</w:t>
            </w:r>
          </w:p>
        </w:tc>
      </w:tr>
      <w:tr w:rsidR="009C46C0" w:rsidRPr="00586508" w:rsidTr="00B91592">
        <w:trPr>
          <w:trHeight w:val="1215"/>
        </w:trPr>
        <w:tc>
          <w:tcPr>
            <w:tcW w:w="709" w:type="dxa"/>
            <w:noWrap/>
          </w:tcPr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BB385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:rsidR="009C46C0" w:rsidRPr="0084573F" w:rsidRDefault="009C46C0" w:rsidP="00BB385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457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Кодекс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B38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</w:t>
            </w:r>
            <w:r w:rsidRPr="008457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нистративных прав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нарушениях </w:t>
            </w:r>
          </w:p>
        </w:tc>
        <w:tc>
          <w:tcPr>
            <w:tcW w:w="8788" w:type="dxa"/>
            <w:noWrap/>
          </w:tcPr>
          <w:p w:rsidR="009C46C0" w:rsidRPr="0058650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 xml:space="preserve">Подготовка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ч. 2 ст. 15.25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КоАП РФ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, уточняющих составы админ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и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стративных правонарушений и санкции за нарушение порядка уведомления нал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о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говых органов об открытии (закрытии), изменении реквизитов счетов в банках, расположенных за пределами территории Российской Федерации (Проект фед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е</w:t>
            </w:r>
            <w:r w:rsidRPr="008E489C">
              <w:rPr>
                <w:rFonts w:ascii="Times New Roman" w:hAnsi="Times New Roman"/>
                <w:sz w:val="24"/>
                <w:szCs w:val="24"/>
              </w:rPr>
              <w:t>рального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закона № 616079-5 «О внесении изменений в статью 15.25 КоАП РФ»)</w:t>
            </w:r>
            <w:r w:rsidR="00A73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11.07.</w:t>
            </w:r>
            <w:r w:rsidRPr="0058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2012 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 в Совет Федерации</w:t>
            </w:r>
            <w:proofErr w:type="gramEnd"/>
          </w:p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50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46C0" w:rsidRPr="00586508" w:rsidTr="00B91592">
        <w:trPr>
          <w:trHeight w:val="1215"/>
        </w:trPr>
        <w:tc>
          <w:tcPr>
            <w:tcW w:w="709" w:type="dxa"/>
            <w:noWrap/>
          </w:tcPr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BB385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</w:tcPr>
          <w:p w:rsidR="009C46C0" w:rsidRPr="00586508" w:rsidRDefault="00A73AFC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57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Кодекс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B385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</w:t>
            </w:r>
            <w:r w:rsidRPr="0084573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об 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нистративных прав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нарушениях</w:t>
            </w:r>
          </w:p>
        </w:tc>
        <w:tc>
          <w:tcPr>
            <w:tcW w:w="8788" w:type="dxa"/>
            <w:noWrap/>
          </w:tcPr>
          <w:p w:rsidR="009C46C0" w:rsidRPr="00586508" w:rsidRDefault="009C46C0" w:rsidP="00C910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Подготовка изменений в КоАП РФ</w:t>
            </w:r>
            <w:r>
              <w:rPr>
                <w:rFonts w:ascii="Times New Roman" w:hAnsi="Times New Roman"/>
                <w:sz w:val="24"/>
                <w:szCs w:val="24"/>
              </w:rPr>
              <w:t>, предусматривающих новую редакцию части 1 статьи 15.25 КоАП РФ «Осуществление незаконных валютных операций»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(Проект федерального закона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512037-5 «</w:t>
            </w:r>
            <w:r w:rsidRPr="00586508">
              <w:rPr>
                <w:rFonts w:ascii="Times New Roman" w:hAnsi="Times New Roman"/>
                <w:bCs/>
                <w:sz w:val="24"/>
                <w:szCs w:val="24"/>
              </w:rPr>
              <w:t>О внесении изменений в статьи 3.5 и 15.25  К</w:t>
            </w:r>
            <w:r w:rsidRPr="0058650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bCs/>
                <w:sz w:val="24"/>
                <w:szCs w:val="24"/>
              </w:rPr>
              <w:t>декса Российской Федерации об административных правонарушениях»)</w:t>
            </w:r>
            <w:r w:rsidR="00A73AF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C46C0" w:rsidRDefault="00A73AFC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9C46C0" w:rsidRPr="00586508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2013 </w:t>
            </w:r>
            <w:r w:rsidRPr="0058650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46C0" w:rsidRPr="00586508" w:rsidTr="00B91592">
        <w:trPr>
          <w:trHeight w:val="533"/>
        </w:trPr>
        <w:tc>
          <w:tcPr>
            <w:tcW w:w="709" w:type="dxa"/>
            <w:noWrap/>
          </w:tcPr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B3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C46C0" w:rsidRPr="00586508" w:rsidRDefault="009C46C0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</w:p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noWrap/>
          </w:tcPr>
          <w:p w:rsidR="009C46C0" w:rsidRPr="00802DAC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8CD">
              <w:rPr>
                <w:rFonts w:ascii="Times New Roman" w:hAnsi="Times New Roman"/>
                <w:sz w:val="24"/>
                <w:szCs w:val="24"/>
              </w:rPr>
              <w:t>Подготовка изменений в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738CD">
              <w:rPr>
                <w:rFonts w:ascii="Times New Roman" w:hAnsi="Times New Roman"/>
                <w:sz w:val="24"/>
                <w:szCs w:val="24"/>
              </w:rPr>
              <w:t>Федеральный закон от 10.12.2003 № 173-ФЗ «О валю</w:t>
            </w:r>
            <w:r w:rsidRPr="00F738CD">
              <w:rPr>
                <w:rFonts w:ascii="Times New Roman" w:hAnsi="Times New Roman"/>
                <w:sz w:val="24"/>
                <w:szCs w:val="24"/>
              </w:rPr>
              <w:t>т</w:t>
            </w:r>
            <w:r w:rsidRPr="00F738CD">
              <w:rPr>
                <w:rFonts w:ascii="Times New Roman" w:hAnsi="Times New Roman"/>
                <w:sz w:val="24"/>
                <w:szCs w:val="24"/>
              </w:rPr>
              <w:t xml:space="preserve">ном регулировании и валютном контроле» 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>в части отнесения к валютным опер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>циям трансграничных переводов валюты Российской Федерации между резиде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 xml:space="preserve">тами с целью обеспечения </w:t>
            </w:r>
            <w:proofErr w:type="gramStart"/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F738CD">
              <w:rPr>
                <w:rFonts w:ascii="Times New Roman" w:hAnsi="Times New Roman"/>
                <w:bCs/>
                <w:sz w:val="24"/>
                <w:szCs w:val="24"/>
              </w:rPr>
              <w:t xml:space="preserve"> их осуществлением.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Проект федерального закона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446118-5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6508">
              <w:rPr>
                <w:rFonts w:ascii="Times New Roman" w:hAnsi="Times New Roman"/>
                <w:bCs/>
                <w:sz w:val="24"/>
                <w:szCs w:val="24"/>
              </w:rPr>
              <w:t>О внесении изменений в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едеральный закон «О валютном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регулировании и валютном контроле»</w:t>
            </w:r>
            <w:r w:rsidR="00A73AF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9C46C0" w:rsidRPr="00586508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9C46C0" w:rsidRPr="00586508" w:rsidTr="00B91592">
        <w:trPr>
          <w:trHeight w:val="839"/>
        </w:trPr>
        <w:tc>
          <w:tcPr>
            <w:tcW w:w="709" w:type="dxa"/>
            <w:noWrap/>
          </w:tcPr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BB3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A73AFC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Г</w:t>
            </w:r>
            <w:r w:rsidR="00A73AFC">
              <w:rPr>
                <w:rFonts w:ascii="Times New Roman" w:hAnsi="Times New Roman"/>
                <w:sz w:val="24"/>
                <w:szCs w:val="24"/>
              </w:rPr>
              <w:t>ражданский кодекс</w:t>
            </w:r>
            <w:r w:rsidR="00BB385A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  <w:p w:rsidR="009C46C0" w:rsidRPr="00586508" w:rsidRDefault="009C46C0" w:rsidP="00A73A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</w:p>
        </w:tc>
        <w:tc>
          <w:tcPr>
            <w:tcW w:w="8788" w:type="dxa"/>
            <w:noWrap/>
          </w:tcPr>
          <w:p w:rsidR="00A73AFC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2C8">
              <w:rPr>
                <w:rFonts w:ascii="Times New Roman" w:hAnsi="Times New Roman"/>
                <w:sz w:val="24"/>
                <w:szCs w:val="24"/>
              </w:rPr>
              <w:t xml:space="preserve">В рамках работы над Проектом Федерального закона 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«О внесении изменений в некоторые законодательные акты Российской Федерации» п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 xml:space="preserve">одготовка изменений </w:t>
            </w:r>
            <w:r w:rsidR="00A73AFC">
              <w:rPr>
                <w:rFonts w:ascii="Times New Roman" w:hAnsi="Times New Roman"/>
                <w:sz w:val="24"/>
                <w:szCs w:val="24"/>
              </w:rPr>
              <w:t>в следующие федеральные законы:</w:t>
            </w:r>
          </w:p>
          <w:p w:rsidR="009C46C0" w:rsidRPr="0058650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6508">
              <w:rPr>
                <w:rFonts w:ascii="Times New Roman" w:hAnsi="Times New Roman"/>
                <w:sz w:val="24"/>
                <w:szCs w:val="24"/>
              </w:rPr>
              <w:t>в Гражданский кодекс Российской Федерации в части, касающейся норм о ликв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и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дации юридического лица, права банка отказаться от исполнения договора банко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ского счета в случаях, установленных Федеральным законом «О противодействии легализации (отмыванию) доходов, полученных преступным путем, и финансир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ванию терроризма» и порядка распоряжения средствами организации, в отнош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е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нии которой банк отказался от исполнения договора банковского счета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9C46C0" w:rsidRPr="00586508" w:rsidRDefault="009C46C0" w:rsidP="00C910CE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в статью 15.25 КоАП РФ в части:</w:t>
            </w:r>
          </w:p>
          <w:p w:rsidR="009C46C0" w:rsidRDefault="009C46C0" w:rsidP="00C910CE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установления состава административного правонарушения, квалифицирующего использование подложных документов при осуществлении валютных операций в качестве незаконной валютной операции;</w:t>
            </w:r>
          </w:p>
          <w:p w:rsidR="009C46C0" w:rsidRPr="00586508" w:rsidRDefault="009C46C0" w:rsidP="00C910CE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установления размера штрафных санкций по части 6 статьи 15.25 КоАП РФ за п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вторное непредставление отчетов о движении средств по счетам (вкладам) в ба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ках за пределами территории Российской Федерации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6C0" w:rsidRPr="00586508" w:rsidRDefault="009C46C0" w:rsidP="00C910CE">
            <w:pPr>
              <w:autoSpaceDE w:val="0"/>
              <w:autoSpaceDN w:val="0"/>
              <w:adjustRightInd w:val="0"/>
              <w:spacing w:line="240" w:lineRule="auto"/>
              <w:ind w:left="34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в Федеральный закон от 08.08.2001 № 129-ФЗ</w:t>
            </w:r>
            <w:r w:rsidR="00C91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«О государственной регистрации юридических лиц и индивидуальных предпринимателей» в части расширения 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с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нований для отказа в государственной регистрации юридических лиц и индивид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у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альных предпринимателей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6C0" w:rsidRPr="00586508" w:rsidRDefault="009C46C0" w:rsidP="00C910CE">
            <w:pPr>
              <w:autoSpaceDE w:val="0"/>
              <w:autoSpaceDN w:val="0"/>
              <w:adjustRightInd w:val="0"/>
              <w:spacing w:line="240" w:lineRule="auto"/>
              <w:ind w:left="34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в Федеральный закон от 07.08.2001 № 115-ФЗ «О противодействии легализации (отмыванию) доходов, полученных преступным путем, и финансированию терр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ризма» в части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включения в понятие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легализаци</w:t>
            </w:r>
            <w:r>
              <w:rPr>
                <w:rFonts w:ascii="Times New Roman" w:hAnsi="Times New Roman"/>
                <w:sz w:val="24"/>
                <w:szCs w:val="24"/>
              </w:rPr>
              <w:t>я»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преступлени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предусмотре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статье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Pr="00586508">
                <w:rPr>
                  <w:rFonts w:ascii="Times New Roman" w:hAnsi="Times New Roman"/>
                  <w:sz w:val="24"/>
                  <w:szCs w:val="24"/>
                </w:rPr>
                <w:t>193</w:t>
              </w:r>
            </w:hyperlink>
            <w:r w:rsidRPr="00586508">
              <w:rPr>
                <w:rFonts w:ascii="Times New Roman" w:hAnsi="Times New Roman"/>
                <w:sz w:val="24"/>
                <w:szCs w:val="24"/>
              </w:rPr>
              <w:t xml:space="preserve"> УК РФ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6C0" w:rsidRPr="00586508" w:rsidRDefault="009C46C0" w:rsidP="00C910CE">
            <w:pPr>
              <w:spacing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в статью 193 УК РФ в части устранения недостатков действующей нормы и уж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е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сточения ответственности за незаконный вывоз иностранной валюты и валюты Российской Федерации за рубеж. </w:t>
            </w:r>
          </w:p>
        </w:tc>
        <w:tc>
          <w:tcPr>
            <w:tcW w:w="1418" w:type="dxa"/>
          </w:tcPr>
          <w:p w:rsidR="005C50E6" w:rsidRDefault="005C50E6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noWrap/>
          </w:tcPr>
          <w:p w:rsidR="009C46C0" w:rsidRPr="00586508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  <w:tr w:rsidR="009C46C0" w:rsidRPr="00586508" w:rsidTr="00B91592">
        <w:trPr>
          <w:trHeight w:val="1215"/>
        </w:trPr>
        <w:tc>
          <w:tcPr>
            <w:tcW w:w="709" w:type="dxa"/>
            <w:noWrap/>
          </w:tcPr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B3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BB385A" w:rsidRDefault="009C46C0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Ко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декс РФ об адм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и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нистративных прав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о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нарушений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РФ </w:t>
            </w:r>
          </w:p>
          <w:p w:rsidR="00BB385A" w:rsidRDefault="009C46C0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Н</w:t>
            </w:r>
            <w:r w:rsidR="00BB385A">
              <w:rPr>
                <w:rFonts w:ascii="Times New Roman" w:hAnsi="Times New Roman"/>
                <w:sz w:val="24"/>
                <w:szCs w:val="24"/>
              </w:rPr>
              <w:t>алоговый кодекс РФ</w:t>
            </w:r>
          </w:p>
          <w:p w:rsidR="009C46C0" w:rsidRPr="00586508" w:rsidRDefault="009C46C0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</w:p>
          <w:p w:rsidR="009C46C0" w:rsidRPr="0058650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noWrap/>
          </w:tcPr>
          <w:p w:rsidR="009C46C0" w:rsidRPr="000352C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В рамках работы над Проектом федерального закона «О внесении изменений в некоторые законодательные акты Российской Федерации (в части осуществления валютных операций между резидентами и нерезидентами с использованием пер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водных (</w:t>
            </w:r>
            <w:proofErr w:type="spellStart"/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трансферабельных</w:t>
            </w:r>
            <w:proofErr w:type="spellEnd"/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) аккредитивов и договоров финансирования под уступку денежного требования») п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одготовка изменений в следующие федерал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ь</w:t>
            </w:r>
            <w:r w:rsidRPr="000352C8">
              <w:rPr>
                <w:rFonts w:ascii="Times New Roman" w:hAnsi="Times New Roman"/>
                <w:sz w:val="24"/>
                <w:szCs w:val="24"/>
              </w:rPr>
              <w:lastRenderedPageBreak/>
              <w:t>ные законы:</w:t>
            </w:r>
          </w:p>
          <w:p w:rsidR="009C46C0" w:rsidRPr="00586508" w:rsidRDefault="009C46C0" w:rsidP="00C910CE">
            <w:pPr>
              <w:spacing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2C8">
              <w:rPr>
                <w:rFonts w:ascii="Times New Roman" w:hAnsi="Times New Roman"/>
                <w:sz w:val="24"/>
                <w:szCs w:val="24"/>
              </w:rPr>
              <w:t xml:space="preserve">Налоговый кодекс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предлагается 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дополни</w:t>
            </w:r>
            <w:r>
              <w:rPr>
                <w:rFonts w:ascii="Times New Roman" w:hAnsi="Times New Roman"/>
                <w:sz w:val="24"/>
                <w:szCs w:val="24"/>
              </w:rPr>
              <w:t>ть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нормой, предусматривающей представление налогоплательщиками в налоговый орган д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полнительных документов для подтверждения обоснованности применения нал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говой ставки 0 процентов и налоговых вычетов при исчислении налога на доба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ленную стоимость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46C0" w:rsidRPr="00586508" w:rsidRDefault="009C46C0" w:rsidP="00C910CE">
            <w:pPr>
              <w:spacing w:line="240" w:lineRule="auto"/>
              <w:ind w:left="34"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/>
                <w:sz w:val="24"/>
                <w:szCs w:val="24"/>
              </w:rPr>
              <w:t>4 статьи 15.25 КоАП РФ, дополнить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нормой об ответственности упо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л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номоченных банков за невыполнение обязанности по возврату в Российскую Ф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е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дерацию валютной выручки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6C0" w:rsidRPr="0058650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статью 19 Федерального закона от 10.12.2003 № 173-ФЗ «О валютном регулиров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а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нии и валютном контро</w:t>
            </w:r>
            <w:r>
              <w:rPr>
                <w:rFonts w:ascii="Times New Roman" w:hAnsi="Times New Roman"/>
                <w:sz w:val="24"/>
                <w:szCs w:val="24"/>
              </w:rPr>
              <w:t>ле» изменить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 xml:space="preserve"> в части установления случаев исполнения обязательств по возврату валютной выручки</w:t>
            </w:r>
            <w:r w:rsidR="005C50E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46C0" w:rsidRPr="0058650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Федеральный закон от 17.05.2007</w:t>
            </w:r>
            <w:r w:rsidR="00C91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№ 82-ФЗ</w:t>
            </w:r>
            <w:r w:rsidR="00C910C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 банке развития»</w:t>
            </w:r>
            <w:r w:rsidRPr="005865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 части</w:t>
            </w:r>
            <w:r w:rsidRPr="005865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наделения правами и обязанностями, установленными для уполномоченных банков в соо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т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ветствии с Федеральным законом от 10.12.2003 № 173-ФЗ «О валютном регулир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о</w:t>
            </w:r>
            <w:r w:rsidRPr="00586508">
              <w:rPr>
                <w:rFonts w:ascii="Times New Roman" w:hAnsi="Times New Roman"/>
                <w:sz w:val="24"/>
                <w:szCs w:val="24"/>
              </w:rPr>
              <w:t>вании и валютном контроле».</w:t>
            </w:r>
          </w:p>
        </w:tc>
        <w:tc>
          <w:tcPr>
            <w:tcW w:w="1418" w:type="dxa"/>
          </w:tcPr>
          <w:p w:rsidR="005C50E6" w:rsidRDefault="005C50E6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9C46C0" w:rsidRPr="00586508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50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46C0" w:rsidRPr="000352C8" w:rsidTr="00B91592">
        <w:trPr>
          <w:trHeight w:val="1215"/>
        </w:trPr>
        <w:tc>
          <w:tcPr>
            <w:tcW w:w="709" w:type="dxa"/>
            <w:noWrap/>
          </w:tcPr>
          <w:p w:rsidR="009C46C0" w:rsidRPr="000352C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BB38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C46C0" w:rsidRPr="000352C8" w:rsidRDefault="009C46C0" w:rsidP="00BB385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2C8">
              <w:rPr>
                <w:rFonts w:ascii="Times New Roman" w:hAnsi="Times New Roman"/>
                <w:sz w:val="24"/>
                <w:szCs w:val="24"/>
              </w:rPr>
              <w:t xml:space="preserve">Федеральный закон </w:t>
            </w:r>
          </w:p>
          <w:p w:rsidR="009C46C0" w:rsidRPr="000352C8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noWrap/>
          </w:tcPr>
          <w:p w:rsidR="009C46C0" w:rsidRPr="000352C8" w:rsidRDefault="009C46C0" w:rsidP="00C910C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изменений в Федеральный закон 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от 10.12.2003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№ 173-ФЗ «О валю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т</w:t>
            </w:r>
            <w:r w:rsidRPr="000352C8">
              <w:rPr>
                <w:rFonts w:ascii="Times New Roman" w:hAnsi="Times New Roman"/>
                <w:sz w:val="24"/>
                <w:szCs w:val="24"/>
              </w:rPr>
              <w:t>ном регулировании и валютном контроле»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части регулирования передачи док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ментов и информации органу валютного контроля, уполномоченному Правител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ством Российской Федерации (Проект федерального закона «О внесении измен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352C8">
              <w:rPr>
                <w:rFonts w:ascii="Times New Roman" w:hAnsi="Times New Roman"/>
                <w:color w:val="000000"/>
                <w:sz w:val="24"/>
                <w:szCs w:val="24"/>
              </w:rPr>
              <w:t>ний в статью 23 Федерального закона «О валютном регулировании и валютном контроле»)</w:t>
            </w:r>
            <w:r w:rsidR="00BB38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C50E6" w:rsidRDefault="005C50E6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Минфин России</w:t>
            </w:r>
          </w:p>
          <w:p w:rsidR="009C46C0" w:rsidRDefault="009C46C0" w:rsidP="005C50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9C46C0" w:rsidRPr="000352C8" w:rsidRDefault="009C46C0" w:rsidP="00C910C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</w:tr>
    </w:tbl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4"/>
        <w:gridCol w:w="2527"/>
        <w:gridCol w:w="8788"/>
        <w:gridCol w:w="1418"/>
        <w:gridCol w:w="1417"/>
      </w:tblGrid>
      <w:tr w:rsidR="00BD13A6" w:rsidRPr="00BD3B91" w:rsidTr="00BB385A">
        <w:trPr>
          <w:trHeight w:val="344"/>
        </w:trPr>
        <w:tc>
          <w:tcPr>
            <w:tcW w:w="734" w:type="dxa"/>
            <w:noWrap/>
            <w:hideMark/>
          </w:tcPr>
          <w:p w:rsidR="00BD13A6" w:rsidRPr="00BD3B91" w:rsidRDefault="009C46C0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D13A6" w:rsidRPr="00BD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0" w:type="dxa"/>
            <w:gridSpan w:val="4"/>
            <w:noWrap/>
            <w:hideMark/>
          </w:tcPr>
          <w:p w:rsidR="00C910CE" w:rsidRDefault="00BD13A6" w:rsidP="00BB38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4. </w:t>
            </w:r>
          </w:p>
          <w:p w:rsidR="00BD13A6" w:rsidRPr="00C735AD" w:rsidRDefault="00BD13A6" w:rsidP="00BB385A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735A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функционирования и развитие налоговой системы Российской Федерации</w:t>
            </w:r>
            <w:r w:rsidR="002A2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</w:p>
        </w:tc>
      </w:tr>
      <w:tr w:rsidR="00BD13A6" w:rsidRPr="00BD3B91" w:rsidTr="009C46C0">
        <w:trPr>
          <w:trHeight w:val="255"/>
        </w:trPr>
        <w:tc>
          <w:tcPr>
            <w:tcW w:w="734" w:type="dxa"/>
            <w:noWrap/>
          </w:tcPr>
          <w:p w:rsidR="00BD13A6" w:rsidRPr="00BD3B91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0" w:type="dxa"/>
            <w:gridSpan w:val="4"/>
            <w:noWrap/>
          </w:tcPr>
          <w:p w:rsidR="00C910CE" w:rsidRDefault="00BD13A6" w:rsidP="00C910CE">
            <w:pPr>
              <w:pStyle w:val="a8"/>
              <w:jc w:val="center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4.1.</w:t>
            </w:r>
          </w:p>
          <w:p w:rsidR="00BD13A6" w:rsidRPr="00BD3B91" w:rsidRDefault="00BD13A6" w:rsidP="009437CA">
            <w:pPr>
              <w:pStyle w:val="a8"/>
              <w:jc w:val="center"/>
              <w:rPr>
                <w:iCs/>
                <w:sz w:val="24"/>
                <w:szCs w:val="24"/>
                <w:lang w:eastAsia="ru-RU"/>
              </w:rPr>
            </w:pPr>
            <w:r w:rsidRPr="00F52018">
              <w:rPr>
                <w:sz w:val="24"/>
                <w:szCs w:val="24"/>
              </w:rPr>
              <w:t>Нормативное правовое регулирование по вопросам налоговой политики и налогового администрирования</w:t>
            </w:r>
          </w:p>
        </w:tc>
      </w:tr>
      <w:tr w:rsidR="00BD13A6" w:rsidRPr="00A30FAF" w:rsidTr="00B91592">
        <w:trPr>
          <w:trHeight w:val="642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7" w:type="dxa"/>
          </w:tcPr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Минфина России</w:t>
            </w:r>
          </w:p>
        </w:tc>
        <w:tc>
          <w:tcPr>
            <w:tcW w:w="8788" w:type="dxa"/>
            <w:noWrap/>
          </w:tcPr>
          <w:p w:rsidR="00BD13A6" w:rsidRPr="008A1C0E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порядке учета российских организаций и граждан в налоговых органах</w:t>
            </w:r>
            <w:r w:rsidR="00BB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Pr="00A30FAF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</w:t>
            </w:r>
          </w:p>
        </w:tc>
      </w:tr>
      <w:tr w:rsidR="00BD13A6" w:rsidRPr="00A30FAF" w:rsidTr="00B91592">
        <w:trPr>
          <w:trHeight w:val="1215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27" w:type="dxa"/>
          </w:tcPr>
          <w:p w:rsidR="00BB385A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D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BD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главу 25 части второй Налогового кодекса Российской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дерации, направленных на уточнение доходов, не учитываемых при определении налоговой базы по налогу на прибыль организаций, а также порядка признания отдельных видов расходов для целей налогообложения</w:t>
            </w:r>
            <w:r w:rsidR="00BB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</w:t>
            </w:r>
          </w:p>
        </w:tc>
      </w:tr>
      <w:tr w:rsidR="00BD13A6" w:rsidRPr="00A30FAF" w:rsidTr="00DB0642">
        <w:trPr>
          <w:trHeight w:val="855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27" w:type="dxa"/>
          </w:tcPr>
          <w:p w:rsidR="00BB385A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D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BD1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</w:t>
            </w:r>
            <w:r w:rsidR="00DB0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тьи 212 и 217 части второй Налогового кодекса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предусматривающих освобождение от налогообложения ряда социально значимых выплат физическим лицам</w:t>
            </w:r>
            <w:r w:rsidR="00BB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D13A6" w:rsidRPr="00A30FAF" w:rsidTr="00B91592">
        <w:trPr>
          <w:trHeight w:val="1215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27" w:type="dxa"/>
          </w:tcPr>
          <w:p w:rsidR="00BB385A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статью 361 части второй Налогового кодекса Российской Федерации, предусматривающий повышение ставок транспортного налога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ношении транспортных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ц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елях налогообложения престижного потребл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18" w:type="dxa"/>
          </w:tcPr>
          <w:p w:rsidR="00BD13A6" w:rsidRDefault="00BD13A6" w:rsidP="00BB38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D13A6" w:rsidRPr="00A30FAF" w:rsidTr="00B91592">
        <w:trPr>
          <w:trHeight w:val="414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27" w:type="dxa"/>
          </w:tcPr>
          <w:p w:rsidR="00BB385A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части второй Налогового кодекса Российской Федерации, предусматривающих установление особого режима налогообложения добычи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леводородного сырья при разработке морских месторождений, а также участков недр, содержащих</w:t>
            </w:r>
            <w:r w:rsidR="000B1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запасы </w:t>
            </w:r>
            <w:proofErr w:type="spellStart"/>
            <w:r w:rsidR="000B1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трудноизвлекаемой</w:t>
            </w:r>
            <w:proofErr w:type="spellEnd"/>
            <w:r w:rsidR="000B1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BB3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DD34C3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2012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2013</w:t>
            </w:r>
          </w:p>
        </w:tc>
      </w:tr>
      <w:tr w:rsidR="00BD13A6" w:rsidRPr="00A30FAF" w:rsidTr="00B91592">
        <w:trPr>
          <w:trHeight w:val="1215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27" w:type="dxa"/>
          </w:tcPr>
          <w:p w:rsidR="00BB385A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BB385A" w:rsidP="00BB38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главы 21 и 25 части второй Налогового кодекса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Федерации, предусматривающих особенности применения налога на доба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ленную стоимость и налога на прибыль организаций при осуществлении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страхованию экспортных кредитов и инвестиций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D13A6" w:rsidRPr="00A30FAF" w:rsidTr="00B91592">
        <w:trPr>
          <w:trHeight w:val="1215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27" w:type="dxa"/>
          </w:tcPr>
          <w:p w:rsidR="00210BC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изменения в статью 149 части второй Налогового кодекса Российской Федерации, предусматривающего отмену освобождения от налогообложения налогом на добавленную стоимость операций по реализации продукции собстве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производства организаций, занимающихся производством сельскохозя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продукции, удельный вес доходов от реализации которой в общей сумме их доходов составляет не менее 70 процентов, в счет натуральной оплаты труда, натуральных выдач для оплаты труда, а также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общественного питания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ников, привлекаемых на сельскохозяйственные работы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D13A6" w:rsidRPr="00A30FAF" w:rsidTr="00B91592">
        <w:trPr>
          <w:trHeight w:val="963"/>
        </w:trPr>
        <w:tc>
          <w:tcPr>
            <w:tcW w:w="734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27" w:type="dxa"/>
          </w:tcPr>
          <w:p w:rsidR="00210BC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A30FA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BD13A6" w:rsidRPr="00A30FAF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изменения в статью 193 части второй Налогового кодекса Российской Федерации, предусматривающего индексацию ставок акцизов на период 2013-2015 годы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A30FAF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Pr="00A30FAF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D13A6" w:rsidRPr="00A30FAF" w:rsidTr="00B91592">
        <w:trPr>
          <w:trHeight w:val="1215"/>
        </w:trPr>
        <w:tc>
          <w:tcPr>
            <w:tcW w:w="734" w:type="dxa"/>
            <w:noWrap/>
          </w:tcPr>
          <w:p w:rsidR="00BD13A6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27" w:type="dxa"/>
          </w:tcPr>
          <w:p w:rsidR="00210BC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</w:p>
          <w:p w:rsidR="00BD13A6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BD13A6" w:rsidRPr="006B7CC9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поправок Правительства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проекту федерального закона № 41444-6 «О внесении изменений в главу 31 части второй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предусматривающий поэтапную отмену льгот по налогу на имущество организаций в отношении железнодорожных путей общего пользования, магистральных трубопроводов, линий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энергопередачи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сооружений, являющихся их неотъемлемой технологической частью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2012 </w:t>
            </w:r>
          </w:p>
        </w:tc>
      </w:tr>
      <w:tr w:rsidR="00BD13A6" w:rsidRPr="00A30FAF" w:rsidTr="00B91592">
        <w:trPr>
          <w:trHeight w:val="699"/>
        </w:trPr>
        <w:tc>
          <w:tcPr>
            <w:tcW w:w="734" w:type="dxa"/>
            <w:noWrap/>
          </w:tcPr>
          <w:p w:rsidR="00BD13A6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527" w:type="dxa"/>
          </w:tcPr>
          <w:p w:rsidR="00210BCF" w:rsidRDefault="00210BCF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</w:t>
            </w:r>
          </w:p>
          <w:p w:rsidR="00BD13A6" w:rsidRDefault="00210BCF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BD13A6" w:rsidRDefault="00BD13A6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поправок Правительства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проекту федерального закона № 51763-4 «О внесении изменений в часть вторую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некоторые другие законодательные акты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предусматривающий введение на территории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налога на недвижимое имущество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735AD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D13A6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2013 </w:t>
            </w:r>
          </w:p>
        </w:tc>
      </w:tr>
      <w:tr w:rsidR="00BD13A6" w:rsidRPr="00A30FAF" w:rsidTr="00DB0642">
        <w:trPr>
          <w:trHeight w:val="970"/>
        </w:trPr>
        <w:tc>
          <w:tcPr>
            <w:tcW w:w="734" w:type="dxa"/>
            <w:noWrap/>
          </w:tcPr>
          <w:p w:rsidR="00BD13A6" w:rsidRDefault="00BD13A6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27" w:type="dxa"/>
          </w:tcPr>
          <w:p w:rsidR="00210BC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РФ</w:t>
            </w:r>
          </w:p>
          <w:p w:rsidR="00BD13A6" w:rsidRPr="0043102B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</w:tc>
        <w:tc>
          <w:tcPr>
            <w:tcW w:w="8788" w:type="dxa"/>
            <w:noWrap/>
          </w:tcPr>
          <w:p w:rsidR="00210BCF" w:rsidRPr="0043102B" w:rsidRDefault="00BD13A6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часть вторую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Налогового кодекса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Федерации</w:t>
            </w:r>
            <w:r w:rsidRPr="0043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уточняющих порядок налогообложения операций с отдельными видами ценных бумаг и финансовыми инструментами срочных сделок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D13A6" w:rsidRPr="0043102B" w:rsidRDefault="00BD13A6" w:rsidP="00C735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D13A6" w:rsidRPr="0043102B" w:rsidRDefault="00BD13A6" w:rsidP="005C50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noWrap/>
          </w:tcPr>
          <w:p w:rsidR="00BD13A6" w:rsidRDefault="00BD13A6" w:rsidP="005C50E6">
            <w:pPr>
              <w:jc w:val="center"/>
              <w:rPr>
                <w:szCs w:val="28"/>
              </w:rPr>
            </w:pPr>
            <w:r w:rsidRPr="00431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</w:tbl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C10209" w:rsidRPr="00A30FAF" w:rsidTr="00C10209">
        <w:trPr>
          <w:trHeight w:val="255"/>
        </w:trPr>
        <w:tc>
          <w:tcPr>
            <w:tcW w:w="14884" w:type="dxa"/>
            <w:noWrap/>
          </w:tcPr>
          <w:p w:rsidR="00C10209" w:rsidRPr="001973E7" w:rsidRDefault="00C10209" w:rsidP="00C102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197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C10209" w:rsidRPr="00A30FAF" w:rsidRDefault="00C10209" w:rsidP="00D67B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Управление государственным долгом  </w:t>
            </w:r>
            <w:r w:rsidR="0039322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государственными</w:t>
            </w:r>
            <w:r w:rsidR="0039322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финансами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активами Российской Федерации</w:t>
            </w:r>
          </w:p>
        </w:tc>
      </w:tr>
      <w:tr w:rsidR="00C10209" w:rsidRPr="00A30FAF" w:rsidTr="00C10209">
        <w:trPr>
          <w:trHeight w:val="255"/>
        </w:trPr>
        <w:tc>
          <w:tcPr>
            <w:tcW w:w="14884" w:type="dxa"/>
            <w:noWrap/>
            <w:hideMark/>
          </w:tcPr>
          <w:p w:rsidR="00C910CE" w:rsidRDefault="00C10209" w:rsidP="00C910C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C10209" w:rsidRPr="00A30FAF" w:rsidRDefault="00C10209" w:rsidP="009437C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Нормативное правовое регулирование в сфере управления государственным долгом Российской Федерации</w:t>
            </w:r>
          </w:p>
        </w:tc>
      </w:tr>
    </w:tbl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4"/>
        <w:gridCol w:w="2527"/>
        <w:gridCol w:w="8788"/>
        <w:gridCol w:w="1418"/>
        <w:gridCol w:w="1417"/>
      </w:tblGrid>
      <w:tr w:rsidR="00C10209" w:rsidRPr="00A30FAF" w:rsidTr="00B91592">
        <w:trPr>
          <w:trHeight w:val="1215"/>
        </w:trPr>
        <w:tc>
          <w:tcPr>
            <w:tcW w:w="734" w:type="dxa"/>
            <w:noWrap/>
          </w:tcPr>
          <w:p w:rsidR="00C10209" w:rsidRDefault="00C10209" w:rsidP="00C10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7" w:type="dxa"/>
          </w:tcPr>
          <w:p w:rsidR="00210BCF" w:rsidRDefault="00C10209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10209" w:rsidRPr="00A30FAF" w:rsidRDefault="00C10209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C10209" w:rsidRPr="00A30FAF" w:rsidRDefault="00C10209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стандартов раскрытия информации о государственных ценных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магах Российской Федерации, содержащейся  в решении о выпуске (дополнител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выпуске) государственных ценных бумаг Российской Федерации и в отчете об итогах эмиссии этих ценных бумаг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C10209" w:rsidRPr="00A30FAF" w:rsidRDefault="00C10209" w:rsidP="00D67B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C10209" w:rsidRPr="00A30FAF" w:rsidRDefault="00C10209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</w:tbl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C10209" w:rsidRPr="00A30FAF" w:rsidTr="00C10209">
        <w:trPr>
          <w:trHeight w:val="255"/>
        </w:trPr>
        <w:tc>
          <w:tcPr>
            <w:tcW w:w="14884" w:type="dxa"/>
            <w:noWrap/>
            <w:hideMark/>
          </w:tcPr>
          <w:p w:rsidR="008109A1" w:rsidRDefault="00C10209" w:rsidP="008109A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8109A1" w:rsidRDefault="00C10209" w:rsidP="008109A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Нормативное правовое регулирование и мониторинг состояния государственного долга субъектов </w:t>
            </w:r>
          </w:p>
          <w:p w:rsidR="00C10209" w:rsidRPr="00A30FAF" w:rsidRDefault="00C10209" w:rsidP="008109A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Российской Федерации и муниципального долга</w:t>
            </w:r>
          </w:p>
        </w:tc>
      </w:tr>
    </w:tbl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4"/>
        <w:gridCol w:w="2527"/>
        <w:gridCol w:w="8788"/>
        <w:gridCol w:w="1418"/>
        <w:gridCol w:w="1417"/>
      </w:tblGrid>
      <w:tr w:rsidR="00C10209" w:rsidRPr="00D67B62" w:rsidTr="00B91592">
        <w:trPr>
          <w:trHeight w:val="1215"/>
        </w:trPr>
        <w:tc>
          <w:tcPr>
            <w:tcW w:w="734" w:type="dxa"/>
            <w:noWrap/>
          </w:tcPr>
          <w:p w:rsidR="00C10209" w:rsidRPr="00D67B62" w:rsidRDefault="00C10209" w:rsidP="00C102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27" w:type="dxa"/>
          </w:tcPr>
          <w:p w:rsidR="00210BCF" w:rsidRDefault="00C10209" w:rsidP="00C1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0209" w:rsidRPr="00D67B62" w:rsidRDefault="00C10209" w:rsidP="00C1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Правительств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C10209" w:rsidRPr="00D67B62" w:rsidRDefault="00C10209" w:rsidP="00C10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noWrap/>
          </w:tcPr>
          <w:p w:rsidR="00C10209" w:rsidRPr="00D67B62" w:rsidRDefault="00D67B62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изменений в постановление Правительства Российской Федерации  от 30.09.2000 № 754 "О государственной регистрации нормативных правовых актов, содержащих условия эмиссии ценных бумаг субъектов Российской Федерации или муниципальных ценных бумаг, и об </w:t>
            </w:r>
            <w:proofErr w:type="gramStart"/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отчетах</w:t>
            </w:r>
            <w:proofErr w:type="gramEnd"/>
            <w:r w:rsidRPr="00D67B62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проведенной эмиссии" в части уст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новления требования о минимальном уровне кредитного рейтинга субъекта и</w:t>
            </w:r>
            <w:r w:rsidR="0039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(или) его долговых обязательств для осуществления внешних заимствований субъекта и утверждения в новой редакции правил государственной регистрации условий эмиссии и обращения государственных ценных бумаг субъекта Российской Фед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7B62">
              <w:rPr>
                <w:rFonts w:ascii="Times New Roman" w:hAnsi="Times New Roman" w:cs="Times New Roman"/>
                <w:sz w:val="24"/>
                <w:szCs w:val="24"/>
              </w:rPr>
              <w:t>рации или муниципальных ценных бумаг, а также изменений, вносимых в условия эмиссии и обращения этих ценных бумаг, и правил предоставления отчетов об итогах эмиссии указанных ценных 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маг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C10209" w:rsidRPr="00D67B62" w:rsidRDefault="00D67B62" w:rsidP="00D67B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C10209" w:rsidRPr="00D67B62" w:rsidRDefault="00D67B62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</w:tbl>
    <w:tbl>
      <w:tblPr>
        <w:tblStyle w:val="1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BC7BD3" w:rsidRPr="00C10209" w:rsidTr="00C10209">
        <w:trPr>
          <w:trHeight w:val="255"/>
        </w:trPr>
        <w:tc>
          <w:tcPr>
            <w:tcW w:w="14884" w:type="dxa"/>
            <w:noWrap/>
          </w:tcPr>
          <w:p w:rsidR="00BC7BD3" w:rsidRPr="00C10209" w:rsidRDefault="00BC7BD3" w:rsidP="005C50E6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1020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Подпрограмма 8.</w:t>
            </w:r>
          </w:p>
          <w:p w:rsidR="00C910CE" w:rsidRDefault="00BC7BD3" w:rsidP="005C50E6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  <w:r w:rsidRPr="00C10209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 xml:space="preserve">Государственное регулирование отрасли драгоценных металлов и драгоценных камней и организация формирования </w:t>
            </w:r>
          </w:p>
          <w:p w:rsidR="00BC7BD3" w:rsidRPr="00C10209" w:rsidRDefault="00BC7BD3" w:rsidP="00C910CE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10209"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  <w:t>и использования Государственного фонда драгоценных металлов и  драгоценных камней</w:t>
            </w:r>
          </w:p>
        </w:tc>
      </w:tr>
      <w:tr w:rsidR="00BC7BD3" w:rsidRPr="00A30FAF" w:rsidTr="00C10209">
        <w:trPr>
          <w:trHeight w:val="255"/>
        </w:trPr>
        <w:tc>
          <w:tcPr>
            <w:tcW w:w="14884" w:type="dxa"/>
            <w:noWrap/>
            <w:hideMark/>
          </w:tcPr>
          <w:p w:rsidR="00C910CE" w:rsidRDefault="00BC7BD3" w:rsidP="00C910C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BC7BD3" w:rsidRPr="00A30FAF" w:rsidRDefault="00BC7BD3" w:rsidP="009437C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Выработка государственной политики и нормативное правовое  регулирование в сфере производства, переработки, обращения драгоценных металлов и драгоценных камней, а также попутного извлечения, производства вторичных драгоценных металлов и их применения во всех 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раслях промышленности (включая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химическую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нефтехимическую, электротехническую, электронную, оборонную, ювелирною и другие), формирование и управления государственным фондами</w:t>
            </w:r>
          </w:p>
        </w:tc>
      </w:tr>
    </w:tbl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8788"/>
        <w:gridCol w:w="1418"/>
        <w:gridCol w:w="1417"/>
      </w:tblGrid>
      <w:tr w:rsidR="00BC7BD3" w:rsidRPr="00A30FAF" w:rsidTr="00210BCF">
        <w:trPr>
          <w:trHeight w:val="1215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210BCF" w:rsidRDefault="00BC7BD3" w:rsidP="0021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</w:p>
          <w:p w:rsidR="00BC7BD3" w:rsidRPr="00A30FAF" w:rsidRDefault="00BC7BD3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  <w:noWrap/>
          </w:tcPr>
          <w:p w:rsidR="00BC7BD3" w:rsidRPr="00A30FAF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Проект Федерального закона «О внесении изменений в отдельные законодател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ные акты Российской Федерации» разработан в целях приведения Федерального закона от 26 марта 1998 года № 41-ФЗ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«О драгоценных металлах и драгоценных камнях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соответствие с Федеральным законом  от 26 декабря 2008 года № 294-ФЗ «О защите прав юридических лиц и индивидуальных предпринимателей при осуществлении государственного контроля  (надзора) и муниципального ко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23016">
              <w:rPr>
                <w:rFonts w:ascii="Times New Roman" w:hAnsi="Times New Roman" w:cs="Times New Roman"/>
                <w:sz w:val="24"/>
                <w:szCs w:val="24"/>
              </w:rPr>
              <w:t>троля»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8" w:type="dxa"/>
          </w:tcPr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Pr="00A30FAF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BC7BD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BC7BD3" w:rsidRPr="00A30FAF" w:rsidTr="00210BCF">
        <w:trPr>
          <w:trHeight w:val="880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210BCF" w:rsidRDefault="00BC7BD3" w:rsidP="00210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7BD3" w:rsidRPr="00A30FAF" w:rsidRDefault="00BC7BD3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BC7BD3" w:rsidRPr="00125701" w:rsidRDefault="00BC7BD3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 Правительства Российской Федерации </w:t>
            </w:r>
          </w:p>
          <w:p w:rsidR="00BC7BD3" w:rsidRPr="00A30FAF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 xml:space="preserve">«О Федеральной службе по </w:t>
            </w:r>
            <w:proofErr w:type="gramStart"/>
            <w:r w:rsidRPr="00125701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125701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>драгоценных металлов и драг</w:t>
            </w: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5701">
              <w:rPr>
                <w:rFonts w:ascii="Times New Roman" w:hAnsi="Times New Roman" w:cs="Times New Roman"/>
                <w:sz w:val="24"/>
                <w:szCs w:val="24"/>
              </w:rPr>
              <w:t>ценных камней»</w:t>
            </w:r>
            <w:r w:rsidR="00210B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C7BD3" w:rsidRPr="00125701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Pr="00A30FAF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BC7BD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BC7BD3" w:rsidRPr="00A30FAF" w:rsidTr="00210BCF">
        <w:trPr>
          <w:trHeight w:val="849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BC7BD3" w:rsidRPr="00A30FAF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C7BD3">
              <w:rPr>
                <w:rFonts w:ascii="Times New Roman" w:hAnsi="Times New Roman" w:cs="Times New Roman"/>
                <w:sz w:val="24"/>
                <w:szCs w:val="24"/>
              </w:rPr>
              <w:t xml:space="preserve">каз Президента РФ </w:t>
            </w:r>
          </w:p>
        </w:tc>
        <w:tc>
          <w:tcPr>
            <w:tcW w:w="8788" w:type="dxa"/>
            <w:noWrap/>
          </w:tcPr>
          <w:p w:rsidR="00BC7BD3" w:rsidRPr="00A30FAF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Подготовка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631D">
              <w:rPr>
                <w:rFonts w:ascii="Times New Roman" w:hAnsi="Times New Roman" w:cs="Times New Roman"/>
                <w:sz w:val="24"/>
                <w:szCs w:val="24"/>
              </w:rPr>
              <w:t xml:space="preserve">указа Президента Российской Федерации «Об образовании Федеральной службы по </w:t>
            </w:r>
            <w:proofErr w:type="gramStart"/>
            <w:r w:rsidRPr="008F631D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Pr="008F631D">
              <w:rPr>
                <w:rFonts w:ascii="Times New Roman" w:hAnsi="Times New Roman" w:cs="Times New Roman"/>
                <w:sz w:val="24"/>
                <w:szCs w:val="24"/>
              </w:rPr>
              <w:t xml:space="preserve"> оборотом драгоценных металлов и драг</w:t>
            </w:r>
            <w:r w:rsidRPr="008F63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631D">
              <w:rPr>
                <w:rFonts w:ascii="Times New Roman" w:hAnsi="Times New Roman" w:cs="Times New Roman"/>
                <w:sz w:val="24"/>
                <w:szCs w:val="24"/>
              </w:rPr>
              <w:t>ценных камней».</w:t>
            </w:r>
          </w:p>
        </w:tc>
        <w:tc>
          <w:tcPr>
            <w:tcW w:w="1418" w:type="dxa"/>
          </w:tcPr>
          <w:p w:rsidR="00BC7BD3" w:rsidRPr="008F631D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Pr="00A30FAF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BC7BD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BC7BD3" w:rsidRPr="00A30FAF" w:rsidTr="00210BCF">
        <w:trPr>
          <w:trHeight w:val="1259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</w:tcPr>
          <w:p w:rsidR="00BC7BD3" w:rsidRPr="00A30FAF" w:rsidRDefault="00BC7BD3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вительства РФ</w:t>
            </w:r>
          </w:p>
        </w:tc>
        <w:tc>
          <w:tcPr>
            <w:tcW w:w="8788" w:type="dxa"/>
            <w:noWrap/>
          </w:tcPr>
          <w:p w:rsidR="00BC7BD3" w:rsidRPr="00A30FAF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постановления Правительства Российской Федерации «Об утверждении Перечня ценностей Государственного фонда драгоценных металлов и драгоценных камней Российской Федерации, не подлежащих использованию в целях экспонирования или научного изучения вне постоянного места хранения»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Pr="00A30FAF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BC7BD3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BC7BD3" w:rsidRPr="00A30FAF" w:rsidTr="00210BCF">
        <w:trPr>
          <w:trHeight w:val="1215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</w:tcPr>
          <w:p w:rsidR="00210BCF" w:rsidRDefault="00BC7BD3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C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7BD3" w:rsidRDefault="00BC7BD3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BC7BD3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постановления Правительства Российской Федерации о 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сении изменений в 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Федерации от 30 июня 1994 г. № 756 «Об утверждении Положения о совершении сделок с драг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F6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ценными металлами на территории Российской Федерации»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210BCF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C7BD3" w:rsidRPr="00A30FAF" w:rsidTr="00210BCF">
        <w:trPr>
          <w:trHeight w:val="897"/>
        </w:trPr>
        <w:tc>
          <w:tcPr>
            <w:tcW w:w="709" w:type="dxa"/>
            <w:noWrap/>
          </w:tcPr>
          <w:p w:rsidR="00BC7BD3" w:rsidRDefault="00BC7BD3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</w:tcPr>
          <w:p w:rsidR="00BC7BD3" w:rsidRDefault="00210BCF" w:rsidP="00210B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глашения</w:t>
            </w:r>
          </w:p>
        </w:tc>
        <w:tc>
          <w:tcPr>
            <w:tcW w:w="8788" w:type="dxa"/>
            <w:noWrap/>
          </w:tcPr>
          <w:p w:rsidR="00BC7BD3" w:rsidRDefault="00BC7BD3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правовой базы Российской Федерации, регулирующей совершение операций с драгоценными металлами и драгоценными камнями в соответствии с решениями Евразийской экономической комиссии</w:t>
            </w:r>
            <w:r w:rsidR="0021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210BCF" w:rsidRDefault="00210BCF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  <w:p w:rsidR="00BC7BD3" w:rsidRDefault="00BC7BD3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BC7BD3" w:rsidRPr="00A30FAF" w:rsidRDefault="00210BCF" w:rsidP="00C910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2012-2013</w:t>
            </w:r>
          </w:p>
        </w:tc>
      </w:tr>
      <w:tr w:rsidR="00A30FAF" w:rsidRPr="00A30FAF" w:rsidTr="00C10209">
        <w:trPr>
          <w:trHeight w:val="255"/>
        </w:trPr>
        <w:tc>
          <w:tcPr>
            <w:tcW w:w="709" w:type="dxa"/>
            <w:noWrap/>
          </w:tcPr>
          <w:p w:rsidR="00A30FAF" w:rsidRPr="00A30FAF" w:rsidRDefault="00A30FAF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5" w:type="dxa"/>
            <w:gridSpan w:val="4"/>
            <w:noWrap/>
          </w:tcPr>
          <w:p w:rsidR="00C910CE" w:rsidRDefault="00A30FAF" w:rsidP="00210B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9.</w:t>
            </w:r>
            <w:r w:rsidR="00C735AD" w:rsidRPr="003F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910CE" w:rsidRDefault="00A30FAF" w:rsidP="00C910CE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1E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Государственное регулирование в сфере производства и оборота этилового спирта,</w:t>
            </w:r>
            <w:r w:rsidR="00C910C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</w:p>
          <w:p w:rsidR="00A30FAF" w:rsidRPr="003F1E6A" w:rsidRDefault="00A30FAF" w:rsidP="00C910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1E6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алкогольной и спиртосодержащей продукции</w:t>
            </w:r>
          </w:p>
        </w:tc>
      </w:tr>
      <w:tr w:rsidR="001E7B68" w:rsidRPr="00A30FAF" w:rsidTr="00C10209">
        <w:trPr>
          <w:trHeight w:val="255"/>
        </w:trPr>
        <w:tc>
          <w:tcPr>
            <w:tcW w:w="709" w:type="dxa"/>
            <w:noWrap/>
            <w:hideMark/>
          </w:tcPr>
          <w:p w:rsidR="001E7B68" w:rsidRPr="00A30FAF" w:rsidRDefault="001E7B68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75" w:type="dxa"/>
            <w:gridSpan w:val="4"/>
            <w:noWrap/>
            <w:hideMark/>
          </w:tcPr>
          <w:p w:rsidR="001A4899" w:rsidRDefault="002C059F" w:rsidP="009437C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="004227EF"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сновное мероприятие</w:t>
            </w: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9.2.</w:t>
            </w:r>
          </w:p>
          <w:p w:rsidR="009437CA" w:rsidRDefault="002C059F" w:rsidP="009437C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Совершенствование нормативной правовой базы в сфере производства и оборота этилового спирта, </w:t>
            </w:r>
          </w:p>
          <w:p w:rsidR="002C059F" w:rsidRPr="00A30FAF" w:rsidRDefault="002C059F" w:rsidP="009437CA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алкогольной</w:t>
            </w:r>
            <w:r w:rsidR="005D6F6C" w:rsidRPr="00A30F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спиртосодержащей продукции</w:t>
            </w:r>
          </w:p>
        </w:tc>
      </w:tr>
      <w:tr w:rsidR="001E7B68" w:rsidRPr="00A30FAF" w:rsidTr="00B91592">
        <w:trPr>
          <w:trHeight w:val="416"/>
        </w:trPr>
        <w:tc>
          <w:tcPr>
            <w:tcW w:w="709" w:type="dxa"/>
            <w:noWrap/>
            <w:hideMark/>
          </w:tcPr>
          <w:p w:rsidR="001E7B68" w:rsidRPr="00A30FAF" w:rsidRDefault="001E7B68" w:rsidP="00E82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hideMark/>
          </w:tcPr>
          <w:p w:rsidR="001E7B68" w:rsidRPr="00A30FAF" w:rsidRDefault="001E7B68" w:rsidP="00C9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</w:p>
        </w:tc>
        <w:tc>
          <w:tcPr>
            <w:tcW w:w="8788" w:type="dxa"/>
            <w:noWrap/>
            <w:hideMark/>
          </w:tcPr>
          <w:p w:rsidR="001E7B68" w:rsidRPr="00A30FAF" w:rsidRDefault="005D6F6C" w:rsidP="001E7B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изменений в Федеральный закон от 22 ноября 1995 г. № 171-ФЗ 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>«О государственном регулировании производства и оборота этилового спирта, алк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>гольной и спиртосодержащей продукции и об ограничении потребления (расп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>тия) алкогольной продукции», предусматривающих</w:t>
            </w:r>
            <w:r w:rsidR="0093187A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</w:t>
            </w:r>
            <w:r w:rsidR="00E825F1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освобождения от маркировки алкогольной продукции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1E7B68" w:rsidRPr="00A30FAF" w:rsidRDefault="00E825F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</w:tc>
        <w:tc>
          <w:tcPr>
            <w:tcW w:w="1417" w:type="dxa"/>
            <w:noWrap/>
            <w:hideMark/>
          </w:tcPr>
          <w:p w:rsidR="001E7B68" w:rsidRPr="00A30FAF" w:rsidRDefault="00E825F1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 г.</w:t>
            </w:r>
            <w:r w:rsidR="001E7B68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07C4" w:rsidRPr="00A30FAF" w:rsidTr="00B91592">
        <w:trPr>
          <w:trHeight w:val="255"/>
        </w:trPr>
        <w:tc>
          <w:tcPr>
            <w:tcW w:w="709" w:type="dxa"/>
            <w:noWrap/>
            <w:hideMark/>
          </w:tcPr>
          <w:p w:rsidR="005407C4" w:rsidRPr="00A30FAF" w:rsidRDefault="005407C4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hideMark/>
          </w:tcPr>
          <w:p w:rsidR="00C910CE" w:rsidRDefault="005407C4" w:rsidP="00C91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C910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07C4" w:rsidRPr="00A30FAF" w:rsidRDefault="005407C4" w:rsidP="00C910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hideMark/>
          </w:tcPr>
          <w:p w:rsidR="0093187A" w:rsidRPr="00A30FAF" w:rsidRDefault="005D6F6C" w:rsidP="00C91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"О минимальном уровне рентабельности производства этилового спирта и алк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гольной продукции с использованием этилового спирта и о нормах минимального использования мощностей основного технологического оборудования для прои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водства этилового спирта или алкогольной продукции с использованием этилового спирта"</w:t>
            </w:r>
            <w:r w:rsidR="0093187A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 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Федеральный закон «О государственном регулировании</w:t>
            </w:r>
            <w:proofErr w:type="gramEnd"/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и оборота этилового спирта, алкогольной и спиртосодержащей пр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>дукции» и отдельные законодательные акты Российской Федерации и признании утратившим силу Федеральный закон «Об ограничениях розничной продажи и п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>требления (распития) пива и напитков, изготавливаемых на его основе» (далее – Федеральный закон от 18 июля 2011 г. № 218-ФЗ)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hideMark/>
          </w:tcPr>
          <w:p w:rsidR="005407C4" w:rsidRPr="00A30FAF" w:rsidRDefault="005407C4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ED3625" w:rsidRPr="00A30FAF" w:rsidRDefault="00ED3625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  <w:hideMark/>
          </w:tcPr>
          <w:p w:rsidR="005407C4" w:rsidRPr="00A30FAF" w:rsidRDefault="009437CA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  <w:r w:rsidR="005407C4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07C4" w:rsidRPr="00A30FAF" w:rsidTr="00B91592">
        <w:trPr>
          <w:trHeight w:val="255"/>
        </w:trPr>
        <w:tc>
          <w:tcPr>
            <w:tcW w:w="709" w:type="dxa"/>
            <w:noWrap/>
            <w:hideMark/>
          </w:tcPr>
          <w:p w:rsidR="005407C4" w:rsidRPr="00A30FAF" w:rsidRDefault="005407C4" w:rsidP="001E7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hideMark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07C4" w:rsidRPr="00A30FAF" w:rsidRDefault="009437CA" w:rsidP="00943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</w:tcPr>
          <w:p w:rsidR="005407C4" w:rsidRPr="00A30FAF" w:rsidRDefault="005D6F6C" w:rsidP="00C910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"О п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рядке ведения единого государственного реестра мощностей основного технол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гического оборудования для производства этилового спирта и алкогольной пр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07C4" w:rsidRPr="00A30FAF">
              <w:rPr>
                <w:rFonts w:ascii="Times New Roman" w:hAnsi="Times New Roman" w:cs="Times New Roman"/>
                <w:sz w:val="24"/>
                <w:szCs w:val="24"/>
              </w:rPr>
              <w:t>дукции с использованием этилового спирта"</w:t>
            </w:r>
            <w:r w:rsidR="0093187A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407C4" w:rsidRPr="00A30FAF" w:rsidRDefault="005407C4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F01122" w:rsidRPr="00A30FAF" w:rsidRDefault="00F01122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407C4" w:rsidRPr="00A30FAF" w:rsidRDefault="009437CA" w:rsidP="005C50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5545BD" w:rsidRPr="00A30FAF" w:rsidTr="00B91592">
        <w:trPr>
          <w:trHeight w:val="60"/>
        </w:trPr>
        <w:tc>
          <w:tcPr>
            <w:tcW w:w="709" w:type="dxa"/>
            <w:noWrap/>
            <w:hideMark/>
          </w:tcPr>
          <w:p w:rsidR="005545BD" w:rsidRPr="00A30FAF" w:rsidRDefault="005545BD" w:rsidP="005545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noWrap/>
            <w:hideMark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45BD" w:rsidRPr="00A30FAF" w:rsidRDefault="009437CA" w:rsidP="00943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  <w:hideMark/>
          </w:tcPr>
          <w:p w:rsidR="005545BD" w:rsidRPr="00A30FAF" w:rsidRDefault="005D6F6C" w:rsidP="001E7B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"Об установлении порядка аннулирования лицензий на производство и оборот этил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вого спирта, алкогольной и спиртосодержащей продукции по решению уполном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ченного Правительством Российской Федерации федерального органа исполн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545BD" w:rsidRPr="00A30FAF">
              <w:rPr>
                <w:rFonts w:ascii="Times New Roman" w:hAnsi="Times New Roman" w:cs="Times New Roman"/>
                <w:sz w:val="24"/>
                <w:szCs w:val="24"/>
              </w:rPr>
              <w:t>тельной власти"</w:t>
            </w:r>
            <w:r w:rsidR="0093187A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545BD" w:rsidRPr="00A30FAF" w:rsidRDefault="005545B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F01122" w:rsidRPr="00A30FAF" w:rsidRDefault="00F01122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hideMark/>
          </w:tcPr>
          <w:p w:rsidR="005545BD" w:rsidRPr="00A30FAF" w:rsidRDefault="005545BD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8601D1" w:rsidRPr="00A30FAF" w:rsidTr="00B91592">
        <w:trPr>
          <w:trHeight w:val="60"/>
        </w:trPr>
        <w:tc>
          <w:tcPr>
            <w:tcW w:w="709" w:type="dxa"/>
            <w:noWrap/>
          </w:tcPr>
          <w:p w:rsidR="008601D1" w:rsidRPr="00A30FAF" w:rsidRDefault="008601D1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1D1" w:rsidRPr="00A30FAF" w:rsidRDefault="009437CA" w:rsidP="00943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601D1" w:rsidRPr="00A30FAF" w:rsidRDefault="005D6F6C" w:rsidP="004227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"О вн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сении изменений в Положение о Федеральной службе по регулированию алк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гольного рынка, утвержденное постановлением Правительства Российской Фед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рации от 24 февраля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="008601D1" w:rsidRPr="00A30FAF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. № 154"</w:t>
            </w:r>
            <w:r w:rsidR="004227EF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proofErr w:type="gramStart"/>
            <w:r w:rsidR="00A76E29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</w:tcPr>
          <w:p w:rsidR="008601D1" w:rsidRPr="00A30FAF" w:rsidRDefault="008601D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F86E55" w:rsidRPr="00A30FAF" w:rsidRDefault="00F86E55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Минфин России</w:t>
            </w:r>
          </w:p>
        </w:tc>
        <w:tc>
          <w:tcPr>
            <w:tcW w:w="1417" w:type="dxa"/>
            <w:noWrap/>
          </w:tcPr>
          <w:p w:rsidR="008601D1" w:rsidRPr="00A30FAF" w:rsidRDefault="008601D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2012 </w:t>
            </w:r>
          </w:p>
        </w:tc>
      </w:tr>
      <w:tr w:rsidR="008601D1" w:rsidRPr="00A30FAF" w:rsidTr="00B91592">
        <w:trPr>
          <w:trHeight w:val="60"/>
        </w:trPr>
        <w:tc>
          <w:tcPr>
            <w:tcW w:w="709" w:type="dxa"/>
            <w:noWrap/>
          </w:tcPr>
          <w:p w:rsidR="008601D1" w:rsidRPr="00A30FAF" w:rsidRDefault="008601D1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1D1" w:rsidRPr="00A30FAF" w:rsidRDefault="009437CA" w:rsidP="009437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601D1" w:rsidRPr="00A30FAF" w:rsidRDefault="005D6F6C" w:rsidP="001518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"О вн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Правительства Российской Федерации от 8 июля 1997 г. № 825</w:t>
            </w:r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>О ведении государственного сводного реестра выданных, приостановленных и аннулированных лицензий на производство, хранение и оптовую реализацию этилового спирта и алкогольной продукции", установление единого для всех субъектов Российской Федерации порядка лицензирования ро</w:t>
            </w:r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>ничной продажи алкогольной продукции, ведение государственного сводного (в том числе</w:t>
            </w:r>
            <w:proofErr w:type="gramEnd"/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E29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15188D" w:rsidRPr="00A30FAF">
              <w:rPr>
                <w:rFonts w:ascii="Times New Roman" w:hAnsi="Times New Roman" w:cs="Times New Roman"/>
                <w:sz w:val="24"/>
                <w:szCs w:val="24"/>
              </w:rPr>
              <w:t>розничной продаже) реестра лицензий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601D1" w:rsidRPr="00A30FAF" w:rsidRDefault="008601D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15188D" w:rsidRPr="00A30FAF" w:rsidRDefault="0015188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8601D1" w:rsidRPr="00A30FAF" w:rsidRDefault="008601D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601D1" w:rsidRPr="00A30FAF" w:rsidTr="00B91592">
        <w:trPr>
          <w:trHeight w:val="60"/>
        </w:trPr>
        <w:tc>
          <w:tcPr>
            <w:tcW w:w="709" w:type="dxa"/>
            <w:noWrap/>
          </w:tcPr>
          <w:p w:rsidR="008601D1" w:rsidRPr="00A30FAF" w:rsidRDefault="008601D1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1D1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601D1" w:rsidRPr="00A30FAF" w:rsidRDefault="005D6F6C" w:rsidP="00ED3625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"О вн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Правительства Российской Федерации от 21 декабря 2005 г. № 785</w:t>
            </w:r>
            <w:r w:rsidR="00ED3625" w:rsidRPr="00A30F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643" w:rsidRPr="00A30FAF">
              <w:rPr>
                <w:rFonts w:ascii="Times New Roman" w:hAnsi="Times New Roman" w:cs="Times New Roman"/>
                <w:sz w:val="24"/>
                <w:szCs w:val="24"/>
              </w:rPr>
              <w:t>предусматривающего</w:t>
            </w:r>
            <w:r w:rsidR="00D058D8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маркировку всей алкогольной продукции за искл</w:t>
            </w:r>
            <w:r w:rsidR="00ED3625" w:rsidRPr="00A30FAF">
              <w:rPr>
                <w:rFonts w:ascii="Times New Roman" w:hAnsi="Times New Roman" w:cs="Times New Roman"/>
                <w:sz w:val="24"/>
                <w:szCs w:val="24"/>
              </w:rPr>
              <w:t>ючением пива и пивных напитков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601D1" w:rsidRPr="00A30FAF" w:rsidRDefault="008601D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D058D8" w:rsidRPr="00A30FAF" w:rsidRDefault="00D058D8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8601D1" w:rsidRPr="00A30FAF" w:rsidRDefault="008601D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601D1" w:rsidRPr="00A30FAF" w:rsidTr="00B91592">
        <w:trPr>
          <w:trHeight w:val="60"/>
        </w:trPr>
        <w:tc>
          <w:tcPr>
            <w:tcW w:w="709" w:type="dxa"/>
            <w:noWrap/>
          </w:tcPr>
          <w:p w:rsidR="008601D1" w:rsidRPr="00A30FAF" w:rsidRDefault="008601D1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1D1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601D1" w:rsidRPr="00A30FAF" w:rsidRDefault="005D6F6C" w:rsidP="009509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"О вн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сении изменений в постановление Правительства Российской Федерации от 31 декабря 2005 г. № 858</w:t>
            </w:r>
            <w:r w:rsidR="003B6D4B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6D4B" w:rsidRPr="00A30FAF">
              <w:rPr>
                <w:rFonts w:ascii="Times New Roman" w:hAnsi="Times New Roman" w:cs="Times New Roman"/>
                <w:sz w:val="24"/>
                <w:szCs w:val="24"/>
              </w:rPr>
              <w:t>О представлении деклараций об объемах производства, оборота и использования этилового спирта алкогольной и спиртосодержащей пр</w:t>
            </w:r>
            <w:r w:rsidR="003B6D4B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B6D4B" w:rsidRPr="00A30FAF">
              <w:rPr>
                <w:rFonts w:ascii="Times New Roman" w:hAnsi="Times New Roman" w:cs="Times New Roman"/>
                <w:sz w:val="24"/>
                <w:szCs w:val="24"/>
              </w:rPr>
              <w:t>дукции"</w:t>
            </w:r>
            <w:r w:rsidR="00506643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601D1" w:rsidRPr="00A30FAF" w:rsidRDefault="008601D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3B6D4B" w:rsidRPr="00A30FAF" w:rsidRDefault="003B6D4B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8601D1" w:rsidRPr="00A30FAF" w:rsidRDefault="008601D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2012 </w:t>
            </w:r>
          </w:p>
        </w:tc>
      </w:tr>
      <w:tr w:rsidR="008601D1" w:rsidRPr="00A30FAF" w:rsidTr="00B91592">
        <w:trPr>
          <w:trHeight w:val="60"/>
        </w:trPr>
        <w:tc>
          <w:tcPr>
            <w:tcW w:w="709" w:type="dxa"/>
            <w:noWrap/>
          </w:tcPr>
          <w:p w:rsidR="008601D1" w:rsidRPr="00A30FAF" w:rsidRDefault="003B261C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1D1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601D1" w:rsidRPr="00A30FAF" w:rsidRDefault="005D6F6C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"О перечне пищевой продукции с содержанием этилового спирта более 0,5 процента объема готовой продукции, не относящейся к алкогольной проду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601D1" w:rsidRPr="00A30FAF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9A66CA" w:rsidRPr="00A30FA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6413E5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506643" w:rsidRPr="00A30FAF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="006413E5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601D1" w:rsidRPr="00A30FAF" w:rsidRDefault="008601D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E01A29" w:rsidRPr="00A30FAF" w:rsidRDefault="00E01A29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8601D1" w:rsidRPr="00A30FAF" w:rsidRDefault="008601D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736E65" w:rsidRPr="00A30FAF" w:rsidTr="00B91592">
        <w:trPr>
          <w:trHeight w:val="60"/>
        </w:trPr>
        <w:tc>
          <w:tcPr>
            <w:tcW w:w="709" w:type="dxa"/>
            <w:noWrap/>
          </w:tcPr>
          <w:p w:rsidR="00736E65" w:rsidRPr="00A30FAF" w:rsidRDefault="00736E65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E65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736E65" w:rsidRPr="00A30FAF" w:rsidRDefault="00B74D01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Проект распоряжения Правительства Российской Федерации</w:t>
            </w:r>
          </w:p>
          <w:p w:rsidR="00B74D01" w:rsidRPr="00A30FAF" w:rsidRDefault="00227F4D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«Об</w:t>
            </w:r>
            <w:r w:rsidR="00B74D01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определении </w:t>
            </w:r>
            <w:r w:rsidR="00B74D01" w:rsidRPr="00A30FAF">
              <w:rPr>
                <w:rFonts w:ascii="Times New Roman" w:hAnsi="Times New Roman" w:cs="Times New Roman"/>
                <w:sz w:val="24"/>
                <w:szCs w:val="24"/>
              </w:rPr>
              <w:t>единственного исполнителя работ по созданию программно-информационных комплексов, автоматизированных систем и информационных сервисов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74D01" w:rsidRPr="00A30FAF">
              <w:rPr>
                <w:rFonts w:ascii="Times New Roman" w:hAnsi="Times New Roman" w:cs="Times New Roman"/>
                <w:sz w:val="24"/>
                <w:szCs w:val="24"/>
              </w:rPr>
              <w:t>, введение которых предусмотрено новой редакцией Федерального зак</w:t>
            </w:r>
            <w:r w:rsidR="00B74D01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4D01" w:rsidRPr="00A30FAF">
              <w:rPr>
                <w:rFonts w:ascii="Times New Roman" w:hAnsi="Times New Roman" w:cs="Times New Roman"/>
                <w:sz w:val="24"/>
                <w:szCs w:val="24"/>
              </w:rPr>
              <w:t>на № 171-ФЗ</w:t>
            </w:r>
          </w:p>
        </w:tc>
        <w:tc>
          <w:tcPr>
            <w:tcW w:w="1418" w:type="dxa"/>
          </w:tcPr>
          <w:p w:rsidR="00B74D01" w:rsidRPr="00A30FAF" w:rsidRDefault="00B74D0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B74D01" w:rsidRPr="00A30FAF" w:rsidRDefault="00B74D0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736E65" w:rsidRPr="00A30FAF" w:rsidRDefault="00B74D0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B74D01" w:rsidRPr="00A30FAF" w:rsidTr="00B91592">
        <w:trPr>
          <w:trHeight w:val="60"/>
        </w:trPr>
        <w:tc>
          <w:tcPr>
            <w:tcW w:w="709" w:type="dxa"/>
            <w:noWrap/>
          </w:tcPr>
          <w:p w:rsidR="00B74D01" w:rsidRPr="00A30FAF" w:rsidRDefault="00B74D01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4D01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B74D01" w:rsidRPr="00A30FAF" w:rsidRDefault="00B74D01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постановления Правительства Российской Федерации «О п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рядке проведения экспертизы при осуществлении лицензионного </w:t>
            </w: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изводством и оборотом этилового спирта, алкогольной и спиртосодержащей пр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дукции»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</w:p>
        </w:tc>
        <w:tc>
          <w:tcPr>
            <w:tcW w:w="1418" w:type="dxa"/>
          </w:tcPr>
          <w:p w:rsidR="00B74D01" w:rsidRPr="00A30FAF" w:rsidRDefault="00B74D0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B74D01" w:rsidRPr="00A30FAF" w:rsidRDefault="00B74D01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B74D01" w:rsidRPr="00A30FAF" w:rsidRDefault="00B74D01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F545D" w:rsidRPr="00A30FAF" w:rsidTr="00B91592">
        <w:trPr>
          <w:trHeight w:val="60"/>
        </w:trPr>
        <w:tc>
          <w:tcPr>
            <w:tcW w:w="709" w:type="dxa"/>
            <w:noWrap/>
          </w:tcPr>
          <w:p w:rsidR="008F545D" w:rsidRPr="00A30FAF" w:rsidRDefault="008F545D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45D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РФ </w:t>
            </w:r>
          </w:p>
        </w:tc>
        <w:tc>
          <w:tcPr>
            <w:tcW w:w="8788" w:type="dxa"/>
            <w:noWrap/>
          </w:tcPr>
          <w:p w:rsidR="008F545D" w:rsidRPr="00A30FAF" w:rsidRDefault="008F545D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Правительства Российской Федерации «О внесении изм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нений в отдельные акты Правительства Российской Федерации по вопросам </w:t>
            </w: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ния государственной автоматизированной информационной системы учета объема производства этилового</w:t>
            </w:r>
            <w:proofErr w:type="gramEnd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спирта, алкогольной и спиртосодержащей продукции»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8F545D" w:rsidRPr="00A30FAF" w:rsidRDefault="008F545D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F545D" w:rsidRPr="00A30FAF" w:rsidTr="00B91592">
        <w:trPr>
          <w:trHeight w:val="60"/>
        </w:trPr>
        <w:tc>
          <w:tcPr>
            <w:tcW w:w="709" w:type="dxa"/>
            <w:noWrap/>
          </w:tcPr>
          <w:p w:rsidR="008F545D" w:rsidRPr="00A30FAF" w:rsidRDefault="008F545D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45D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F545D" w:rsidRPr="00A30FAF" w:rsidRDefault="008F545D" w:rsidP="00B915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Правительства Российской Федерации «О порядке ведения федерального реестра алкогольной продукции»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>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8F545D" w:rsidRPr="00A30FAF" w:rsidRDefault="008F545D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F545D" w:rsidRPr="00A30FAF" w:rsidTr="00B91592">
        <w:trPr>
          <w:trHeight w:val="60"/>
        </w:trPr>
        <w:tc>
          <w:tcPr>
            <w:tcW w:w="709" w:type="dxa"/>
            <w:noWrap/>
          </w:tcPr>
          <w:p w:rsidR="002B1A18" w:rsidRPr="00A30FAF" w:rsidRDefault="002B1A18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45D" w:rsidRPr="00A30FAF" w:rsidRDefault="008F545D" w:rsidP="002B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45D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РФ </w:t>
            </w:r>
          </w:p>
        </w:tc>
        <w:tc>
          <w:tcPr>
            <w:tcW w:w="8788" w:type="dxa"/>
            <w:noWrap/>
          </w:tcPr>
          <w:p w:rsidR="008F545D" w:rsidRPr="00A30FAF" w:rsidRDefault="008F545D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Российской Федерации «Об установлении </w:t>
            </w:r>
            <w:proofErr w:type="gramStart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порядка ведения автоматизированной системы контроля перевозок этилового спирта</w:t>
            </w:r>
            <w:proofErr w:type="gramEnd"/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и спиртосодержащей продукции на территории Российской Федерации, установлении требований к специальным техническим средствам регистрации движения»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Минфин России</w:t>
            </w:r>
          </w:p>
        </w:tc>
        <w:tc>
          <w:tcPr>
            <w:tcW w:w="1417" w:type="dxa"/>
            <w:noWrap/>
          </w:tcPr>
          <w:p w:rsidR="008F545D" w:rsidRPr="00A30FAF" w:rsidRDefault="008F545D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  <w:tr w:rsidR="008F545D" w:rsidRPr="00A30FAF" w:rsidTr="00B91592">
        <w:trPr>
          <w:trHeight w:val="60"/>
        </w:trPr>
        <w:tc>
          <w:tcPr>
            <w:tcW w:w="709" w:type="dxa"/>
            <w:noWrap/>
          </w:tcPr>
          <w:p w:rsidR="008F545D" w:rsidRPr="00A30FAF" w:rsidRDefault="008F545D" w:rsidP="005738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261C"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43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noWrap/>
          </w:tcPr>
          <w:p w:rsidR="009437CA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545D" w:rsidRPr="00A30FAF" w:rsidRDefault="009437CA" w:rsidP="00943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Правительства РФ</w:t>
            </w:r>
          </w:p>
        </w:tc>
        <w:tc>
          <w:tcPr>
            <w:tcW w:w="8788" w:type="dxa"/>
            <w:noWrap/>
          </w:tcPr>
          <w:p w:rsidR="008F545D" w:rsidRPr="00A30FAF" w:rsidRDefault="008F545D" w:rsidP="0050664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0FAF">
              <w:rPr>
                <w:rFonts w:ascii="Times New Roman" w:hAnsi="Times New Roman" w:cs="Times New Roman"/>
                <w:sz w:val="24"/>
                <w:szCs w:val="24"/>
              </w:rPr>
              <w:t>Проект постановления Правительства Российской Федерации «Об утверждении положения о лицензировании перевозок этилового спирта и спиртосодержащей продукции с содержанием этилового спирта более 25 процентов объема готовой продукции»</w:t>
            </w:r>
            <w:r w:rsidR="00227F4D" w:rsidRPr="00A30FA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Федерального закона от 18 июля 2011 г. № 218-ФЗ</w:t>
            </w:r>
            <w:r w:rsidR="00943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Росалк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гольрег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лирование</w:t>
            </w:r>
            <w:proofErr w:type="spellEnd"/>
          </w:p>
          <w:p w:rsidR="008F545D" w:rsidRPr="00A30FAF" w:rsidRDefault="008F545D" w:rsidP="00210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</w:tcPr>
          <w:p w:rsidR="008F545D" w:rsidRPr="00A30FAF" w:rsidRDefault="008F545D" w:rsidP="009437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</w:tr>
    </w:tbl>
    <w:p w:rsidR="00E61607" w:rsidRPr="00A30FAF" w:rsidRDefault="00E61607">
      <w:pPr>
        <w:rPr>
          <w:rFonts w:ascii="Times New Roman" w:hAnsi="Times New Roman" w:cs="Times New Roman"/>
          <w:sz w:val="24"/>
          <w:szCs w:val="24"/>
        </w:rPr>
      </w:pPr>
    </w:p>
    <w:sectPr w:rsidR="00E61607" w:rsidRPr="00A30FAF" w:rsidSect="001A08E6">
      <w:footerReference w:type="default" r:id="rId10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DF1" w:rsidRDefault="00DD2DF1" w:rsidP="000C7363">
      <w:pPr>
        <w:spacing w:line="240" w:lineRule="auto"/>
      </w:pPr>
      <w:r>
        <w:separator/>
      </w:r>
    </w:p>
  </w:endnote>
  <w:endnote w:type="continuationSeparator" w:id="0">
    <w:p w:rsidR="00DD2DF1" w:rsidRDefault="00DD2DF1" w:rsidP="000C73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24273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13EF7" w:rsidRPr="009437CA" w:rsidRDefault="00F13EF7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437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37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37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84C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9437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13EF7" w:rsidRDefault="00F13E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DF1" w:rsidRDefault="00DD2DF1" w:rsidP="000C7363">
      <w:pPr>
        <w:spacing w:line="240" w:lineRule="auto"/>
      </w:pPr>
      <w:r>
        <w:separator/>
      </w:r>
    </w:p>
  </w:footnote>
  <w:footnote w:type="continuationSeparator" w:id="0">
    <w:p w:rsidR="00DD2DF1" w:rsidRDefault="00DD2DF1" w:rsidP="000C736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6DD8"/>
    <w:multiLevelType w:val="hybridMultilevel"/>
    <w:tmpl w:val="7E9A4F94"/>
    <w:lvl w:ilvl="0" w:tplc="10DAEFD6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76078"/>
    <w:multiLevelType w:val="hybridMultilevel"/>
    <w:tmpl w:val="7E9A4F94"/>
    <w:lvl w:ilvl="0" w:tplc="10DAEFD6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97437"/>
    <w:multiLevelType w:val="hybridMultilevel"/>
    <w:tmpl w:val="F802E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56BC5"/>
    <w:multiLevelType w:val="hybridMultilevel"/>
    <w:tmpl w:val="6D827838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55C3B33"/>
    <w:multiLevelType w:val="hybridMultilevel"/>
    <w:tmpl w:val="EE20FFCA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67CEC"/>
    <w:multiLevelType w:val="hybridMultilevel"/>
    <w:tmpl w:val="B950A270"/>
    <w:lvl w:ilvl="0" w:tplc="0419000B">
      <w:start w:val="1"/>
      <w:numFmt w:val="bullet"/>
      <w:lvlText w:val=""/>
      <w:lvlJc w:val="left"/>
      <w:pPr>
        <w:tabs>
          <w:tab w:val="num" w:pos="748"/>
        </w:tabs>
        <w:ind w:left="7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4F82D2C"/>
    <w:multiLevelType w:val="hybridMultilevel"/>
    <w:tmpl w:val="3650FF88"/>
    <w:lvl w:ilvl="0" w:tplc="10DAEFD6">
      <w:start w:val="2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B68"/>
    <w:rsid w:val="000007EA"/>
    <w:rsid w:val="00005F2B"/>
    <w:rsid w:val="00013A63"/>
    <w:rsid w:val="00013D82"/>
    <w:rsid w:val="00017A9F"/>
    <w:rsid w:val="00023545"/>
    <w:rsid w:val="00023C0E"/>
    <w:rsid w:val="00033516"/>
    <w:rsid w:val="00037EC5"/>
    <w:rsid w:val="00042C39"/>
    <w:rsid w:val="00043F3F"/>
    <w:rsid w:val="000444BB"/>
    <w:rsid w:val="000505F9"/>
    <w:rsid w:val="00054C98"/>
    <w:rsid w:val="00056D67"/>
    <w:rsid w:val="000705C7"/>
    <w:rsid w:val="00073615"/>
    <w:rsid w:val="00075DAA"/>
    <w:rsid w:val="00076EBE"/>
    <w:rsid w:val="00080DAF"/>
    <w:rsid w:val="00082211"/>
    <w:rsid w:val="000841A2"/>
    <w:rsid w:val="00084CC0"/>
    <w:rsid w:val="000923A3"/>
    <w:rsid w:val="00092ABA"/>
    <w:rsid w:val="0009307B"/>
    <w:rsid w:val="00097AD3"/>
    <w:rsid w:val="000A0F06"/>
    <w:rsid w:val="000A339A"/>
    <w:rsid w:val="000A5228"/>
    <w:rsid w:val="000B042B"/>
    <w:rsid w:val="000B1008"/>
    <w:rsid w:val="000B15D6"/>
    <w:rsid w:val="000B5BF5"/>
    <w:rsid w:val="000B6CA8"/>
    <w:rsid w:val="000C7363"/>
    <w:rsid w:val="000C79C7"/>
    <w:rsid w:val="000D04CE"/>
    <w:rsid w:val="000D2DFC"/>
    <w:rsid w:val="000D5B8F"/>
    <w:rsid w:val="000E0DD5"/>
    <w:rsid w:val="000E3252"/>
    <w:rsid w:val="000E33E3"/>
    <w:rsid w:val="000E6AE1"/>
    <w:rsid w:val="000F5B89"/>
    <w:rsid w:val="00100D2B"/>
    <w:rsid w:val="00100EB8"/>
    <w:rsid w:val="00101BB0"/>
    <w:rsid w:val="00104CDA"/>
    <w:rsid w:val="00107B24"/>
    <w:rsid w:val="00110BF6"/>
    <w:rsid w:val="00112B74"/>
    <w:rsid w:val="001240BE"/>
    <w:rsid w:val="00126E81"/>
    <w:rsid w:val="0013227F"/>
    <w:rsid w:val="00133EF4"/>
    <w:rsid w:val="00142CE5"/>
    <w:rsid w:val="001514A7"/>
    <w:rsid w:val="0015188D"/>
    <w:rsid w:val="001554F2"/>
    <w:rsid w:val="00160982"/>
    <w:rsid w:val="001713E5"/>
    <w:rsid w:val="0017254B"/>
    <w:rsid w:val="00172C34"/>
    <w:rsid w:val="001746DC"/>
    <w:rsid w:val="0018039B"/>
    <w:rsid w:val="00181064"/>
    <w:rsid w:val="00183A70"/>
    <w:rsid w:val="001910D5"/>
    <w:rsid w:val="00195FBF"/>
    <w:rsid w:val="00197145"/>
    <w:rsid w:val="001973E7"/>
    <w:rsid w:val="001A01A3"/>
    <w:rsid w:val="001A08E6"/>
    <w:rsid w:val="001A1743"/>
    <w:rsid w:val="001A1CD8"/>
    <w:rsid w:val="001A4899"/>
    <w:rsid w:val="001A73AC"/>
    <w:rsid w:val="001B5D25"/>
    <w:rsid w:val="001C1F06"/>
    <w:rsid w:val="001C53B4"/>
    <w:rsid w:val="001D03D9"/>
    <w:rsid w:val="001D3557"/>
    <w:rsid w:val="001D3E5B"/>
    <w:rsid w:val="001D7FE2"/>
    <w:rsid w:val="001E4100"/>
    <w:rsid w:val="001E7B68"/>
    <w:rsid w:val="001F0410"/>
    <w:rsid w:val="001F0727"/>
    <w:rsid w:val="001F25C2"/>
    <w:rsid w:val="001F27C9"/>
    <w:rsid w:val="001F3308"/>
    <w:rsid w:val="002007E6"/>
    <w:rsid w:val="00203641"/>
    <w:rsid w:val="0020424F"/>
    <w:rsid w:val="002051D3"/>
    <w:rsid w:val="00210BCF"/>
    <w:rsid w:val="00212601"/>
    <w:rsid w:val="00213991"/>
    <w:rsid w:val="0021570E"/>
    <w:rsid w:val="00220334"/>
    <w:rsid w:val="00222DCC"/>
    <w:rsid w:val="002254E9"/>
    <w:rsid w:val="002254FD"/>
    <w:rsid w:val="00225B16"/>
    <w:rsid w:val="002278CB"/>
    <w:rsid w:val="00227F4D"/>
    <w:rsid w:val="00232339"/>
    <w:rsid w:val="00232975"/>
    <w:rsid w:val="0023745C"/>
    <w:rsid w:val="00237C88"/>
    <w:rsid w:val="00240DC4"/>
    <w:rsid w:val="00241822"/>
    <w:rsid w:val="00243DF4"/>
    <w:rsid w:val="00245519"/>
    <w:rsid w:val="00254A29"/>
    <w:rsid w:val="00254B36"/>
    <w:rsid w:val="00254D24"/>
    <w:rsid w:val="002571BB"/>
    <w:rsid w:val="00270186"/>
    <w:rsid w:val="00275B69"/>
    <w:rsid w:val="00281CAC"/>
    <w:rsid w:val="00285FBB"/>
    <w:rsid w:val="00286BA4"/>
    <w:rsid w:val="0028716E"/>
    <w:rsid w:val="00290D41"/>
    <w:rsid w:val="00291341"/>
    <w:rsid w:val="00296598"/>
    <w:rsid w:val="00296CBA"/>
    <w:rsid w:val="002A2B87"/>
    <w:rsid w:val="002A573B"/>
    <w:rsid w:val="002A763A"/>
    <w:rsid w:val="002B1A18"/>
    <w:rsid w:val="002B1BA0"/>
    <w:rsid w:val="002B4A91"/>
    <w:rsid w:val="002B5DAD"/>
    <w:rsid w:val="002C059F"/>
    <w:rsid w:val="002C35C1"/>
    <w:rsid w:val="002C391E"/>
    <w:rsid w:val="002C4B62"/>
    <w:rsid w:val="002C76CA"/>
    <w:rsid w:val="002D1575"/>
    <w:rsid w:val="002D184C"/>
    <w:rsid w:val="002E027B"/>
    <w:rsid w:val="002E1859"/>
    <w:rsid w:val="002E6FE3"/>
    <w:rsid w:val="002F03FC"/>
    <w:rsid w:val="002F2A39"/>
    <w:rsid w:val="002F467D"/>
    <w:rsid w:val="002F5179"/>
    <w:rsid w:val="002F7D05"/>
    <w:rsid w:val="00300A83"/>
    <w:rsid w:val="00303654"/>
    <w:rsid w:val="00311F11"/>
    <w:rsid w:val="00317947"/>
    <w:rsid w:val="00317C58"/>
    <w:rsid w:val="00317F60"/>
    <w:rsid w:val="00321454"/>
    <w:rsid w:val="00325733"/>
    <w:rsid w:val="00325D18"/>
    <w:rsid w:val="003271C7"/>
    <w:rsid w:val="00330F1A"/>
    <w:rsid w:val="00334277"/>
    <w:rsid w:val="00346DCF"/>
    <w:rsid w:val="00352BB9"/>
    <w:rsid w:val="00357D0B"/>
    <w:rsid w:val="00360204"/>
    <w:rsid w:val="0036053C"/>
    <w:rsid w:val="00365FEC"/>
    <w:rsid w:val="00367B15"/>
    <w:rsid w:val="00367CAF"/>
    <w:rsid w:val="0037195C"/>
    <w:rsid w:val="00375AF3"/>
    <w:rsid w:val="003867E5"/>
    <w:rsid w:val="00390639"/>
    <w:rsid w:val="00390AA2"/>
    <w:rsid w:val="003910B0"/>
    <w:rsid w:val="0039111E"/>
    <w:rsid w:val="00393227"/>
    <w:rsid w:val="003A2D53"/>
    <w:rsid w:val="003A36CE"/>
    <w:rsid w:val="003A6F0F"/>
    <w:rsid w:val="003B0887"/>
    <w:rsid w:val="003B1F71"/>
    <w:rsid w:val="003B261C"/>
    <w:rsid w:val="003B602A"/>
    <w:rsid w:val="003B6D4B"/>
    <w:rsid w:val="003C1D0E"/>
    <w:rsid w:val="003C7045"/>
    <w:rsid w:val="003D1C46"/>
    <w:rsid w:val="003D5C2E"/>
    <w:rsid w:val="003E5F0A"/>
    <w:rsid w:val="003E5F58"/>
    <w:rsid w:val="003E7E7E"/>
    <w:rsid w:val="003F1721"/>
    <w:rsid w:val="003F1796"/>
    <w:rsid w:val="003F1E6A"/>
    <w:rsid w:val="003F3862"/>
    <w:rsid w:val="003F4004"/>
    <w:rsid w:val="003F4017"/>
    <w:rsid w:val="004114C9"/>
    <w:rsid w:val="004118C6"/>
    <w:rsid w:val="00415010"/>
    <w:rsid w:val="00415261"/>
    <w:rsid w:val="00416787"/>
    <w:rsid w:val="004227EF"/>
    <w:rsid w:val="004260FD"/>
    <w:rsid w:val="00433DBB"/>
    <w:rsid w:val="0043611D"/>
    <w:rsid w:val="0044177A"/>
    <w:rsid w:val="004439C5"/>
    <w:rsid w:val="00450D69"/>
    <w:rsid w:val="00455642"/>
    <w:rsid w:val="004570D0"/>
    <w:rsid w:val="004576B2"/>
    <w:rsid w:val="00457CF2"/>
    <w:rsid w:val="00457F0F"/>
    <w:rsid w:val="00462E91"/>
    <w:rsid w:val="00464759"/>
    <w:rsid w:val="0047378D"/>
    <w:rsid w:val="004750E7"/>
    <w:rsid w:val="004817F1"/>
    <w:rsid w:val="0048232F"/>
    <w:rsid w:val="0048448F"/>
    <w:rsid w:val="00484595"/>
    <w:rsid w:val="004865B6"/>
    <w:rsid w:val="0049083B"/>
    <w:rsid w:val="004976AB"/>
    <w:rsid w:val="004A0517"/>
    <w:rsid w:val="004A1214"/>
    <w:rsid w:val="004A29D7"/>
    <w:rsid w:val="004A3A09"/>
    <w:rsid w:val="004B40E9"/>
    <w:rsid w:val="004C17F3"/>
    <w:rsid w:val="004C4064"/>
    <w:rsid w:val="004C583A"/>
    <w:rsid w:val="004C6766"/>
    <w:rsid w:val="004D018D"/>
    <w:rsid w:val="004D2F4A"/>
    <w:rsid w:val="004D5538"/>
    <w:rsid w:val="004D7192"/>
    <w:rsid w:val="004E34D3"/>
    <w:rsid w:val="004F0238"/>
    <w:rsid w:val="004F5DAE"/>
    <w:rsid w:val="004F6707"/>
    <w:rsid w:val="004F7781"/>
    <w:rsid w:val="00500FC0"/>
    <w:rsid w:val="005017D5"/>
    <w:rsid w:val="00506643"/>
    <w:rsid w:val="005068C3"/>
    <w:rsid w:val="00507C94"/>
    <w:rsid w:val="005112E3"/>
    <w:rsid w:val="005164A6"/>
    <w:rsid w:val="0052224D"/>
    <w:rsid w:val="00530B62"/>
    <w:rsid w:val="00531DB9"/>
    <w:rsid w:val="00533C7B"/>
    <w:rsid w:val="005407C4"/>
    <w:rsid w:val="0054142B"/>
    <w:rsid w:val="00542258"/>
    <w:rsid w:val="0054472E"/>
    <w:rsid w:val="00547ECA"/>
    <w:rsid w:val="00550C46"/>
    <w:rsid w:val="0055234A"/>
    <w:rsid w:val="005545BD"/>
    <w:rsid w:val="0056008E"/>
    <w:rsid w:val="005615C8"/>
    <w:rsid w:val="00564427"/>
    <w:rsid w:val="00565F06"/>
    <w:rsid w:val="0057383E"/>
    <w:rsid w:val="00577F84"/>
    <w:rsid w:val="0058260F"/>
    <w:rsid w:val="0058789B"/>
    <w:rsid w:val="00590537"/>
    <w:rsid w:val="00591376"/>
    <w:rsid w:val="00592C64"/>
    <w:rsid w:val="00592FB0"/>
    <w:rsid w:val="00593655"/>
    <w:rsid w:val="00594191"/>
    <w:rsid w:val="0059724E"/>
    <w:rsid w:val="005A2D96"/>
    <w:rsid w:val="005B437C"/>
    <w:rsid w:val="005B4E27"/>
    <w:rsid w:val="005C2F46"/>
    <w:rsid w:val="005C50E6"/>
    <w:rsid w:val="005D103E"/>
    <w:rsid w:val="005D1B1F"/>
    <w:rsid w:val="005D5168"/>
    <w:rsid w:val="005D6F6C"/>
    <w:rsid w:val="005E0802"/>
    <w:rsid w:val="005E2864"/>
    <w:rsid w:val="005E3AE2"/>
    <w:rsid w:val="005E4097"/>
    <w:rsid w:val="005E4ABA"/>
    <w:rsid w:val="005E55CD"/>
    <w:rsid w:val="005E64C5"/>
    <w:rsid w:val="005F0530"/>
    <w:rsid w:val="005F06EC"/>
    <w:rsid w:val="005F0E43"/>
    <w:rsid w:val="005F122B"/>
    <w:rsid w:val="00605784"/>
    <w:rsid w:val="00610697"/>
    <w:rsid w:val="00610B8A"/>
    <w:rsid w:val="006111B9"/>
    <w:rsid w:val="00612C37"/>
    <w:rsid w:val="0061337D"/>
    <w:rsid w:val="00613897"/>
    <w:rsid w:val="00617BB4"/>
    <w:rsid w:val="006376E0"/>
    <w:rsid w:val="00637F59"/>
    <w:rsid w:val="00640B90"/>
    <w:rsid w:val="006413E5"/>
    <w:rsid w:val="00642F59"/>
    <w:rsid w:val="00643379"/>
    <w:rsid w:val="0064351D"/>
    <w:rsid w:val="0064593E"/>
    <w:rsid w:val="00651325"/>
    <w:rsid w:val="00651E8B"/>
    <w:rsid w:val="00654085"/>
    <w:rsid w:val="00654BF1"/>
    <w:rsid w:val="00655095"/>
    <w:rsid w:val="00662C40"/>
    <w:rsid w:val="00664614"/>
    <w:rsid w:val="00667C9B"/>
    <w:rsid w:val="00670062"/>
    <w:rsid w:val="006710D3"/>
    <w:rsid w:val="006721A8"/>
    <w:rsid w:val="0067354C"/>
    <w:rsid w:val="006752B8"/>
    <w:rsid w:val="00687CCB"/>
    <w:rsid w:val="00694064"/>
    <w:rsid w:val="0069523B"/>
    <w:rsid w:val="006976BD"/>
    <w:rsid w:val="00697C17"/>
    <w:rsid w:val="006A5A19"/>
    <w:rsid w:val="006A61C2"/>
    <w:rsid w:val="006A6DF8"/>
    <w:rsid w:val="006A745C"/>
    <w:rsid w:val="006B2834"/>
    <w:rsid w:val="006B64FF"/>
    <w:rsid w:val="006B75E8"/>
    <w:rsid w:val="006C1E2C"/>
    <w:rsid w:val="006C20AA"/>
    <w:rsid w:val="006C506A"/>
    <w:rsid w:val="006D24D1"/>
    <w:rsid w:val="006D3581"/>
    <w:rsid w:val="006D52FB"/>
    <w:rsid w:val="006E10B7"/>
    <w:rsid w:val="006E10ED"/>
    <w:rsid w:val="006E1177"/>
    <w:rsid w:val="006E5384"/>
    <w:rsid w:val="006E6B13"/>
    <w:rsid w:val="006F0743"/>
    <w:rsid w:val="006F3052"/>
    <w:rsid w:val="006F5F6B"/>
    <w:rsid w:val="006F6A58"/>
    <w:rsid w:val="00712F82"/>
    <w:rsid w:val="007130BF"/>
    <w:rsid w:val="00725073"/>
    <w:rsid w:val="0072563A"/>
    <w:rsid w:val="00730F0F"/>
    <w:rsid w:val="00736E65"/>
    <w:rsid w:val="00740339"/>
    <w:rsid w:val="00742486"/>
    <w:rsid w:val="00753A8A"/>
    <w:rsid w:val="0076057B"/>
    <w:rsid w:val="0076134A"/>
    <w:rsid w:val="0079017E"/>
    <w:rsid w:val="00792AD6"/>
    <w:rsid w:val="007A599D"/>
    <w:rsid w:val="007B0874"/>
    <w:rsid w:val="007B1A17"/>
    <w:rsid w:val="007B2C8C"/>
    <w:rsid w:val="007B4428"/>
    <w:rsid w:val="007B47BA"/>
    <w:rsid w:val="007B5928"/>
    <w:rsid w:val="007C123D"/>
    <w:rsid w:val="007C6B38"/>
    <w:rsid w:val="007D0170"/>
    <w:rsid w:val="007D1D12"/>
    <w:rsid w:val="007D1F34"/>
    <w:rsid w:val="007D24C1"/>
    <w:rsid w:val="007D5E53"/>
    <w:rsid w:val="007E08EA"/>
    <w:rsid w:val="007E15EF"/>
    <w:rsid w:val="007E3D12"/>
    <w:rsid w:val="007E6023"/>
    <w:rsid w:val="007F12AA"/>
    <w:rsid w:val="007F1997"/>
    <w:rsid w:val="007F1EF0"/>
    <w:rsid w:val="007F2266"/>
    <w:rsid w:val="007F334A"/>
    <w:rsid w:val="007F7A71"/>
    <w:rsid w:val="00802AFE"/>
    <w:rsid w:val="00804001"/>
    <w:rsid w:val="008058AF"/>
    <w:rsid w:val="0081052A"/>
    <w:rsid w:val="008109A1"/>
    <w:rsid w:val="00812F27"/>
    <w:rsid w:val="00813760"/>
    <w:rsid w:val="00813A3A"/>
    <w:rsid w:val="0081469F"/>
    <w:rsid w:val="00814F18"/>
    <w:rsid w:val="0082064E"/>
    <w:rsid w:val="0082069A"/>
    <w:rsid w:val="00823A5E"/>
    <w:rsid w:val="0082641B"/>
    <w:rsid w:val="00826E57"/>
    <w:rsid w:val="008303B8"/>
    <w:rsid w:val="00831116"/>
    <w:rsid w:val="00831B32"/>
    <w:rsid w:val="008321B1"/>
    <w:rsid w:val="008321CF"/>
    <w:rsid w:val="00836DAB"/>
    <w:rsid w:val="00836DF9"/>
    <w:rsid w:val="008412EB"/>
    <w:rsid w:val="00842007"/>
    <w:rsid w:val="00846F94"/>
    <w:rsid w:val="00846FC5"/>
    <w:rsid w:val="00850706"/>
    <w:rsid w:val="00853B78"/>
    <w:rsid w:val="008572FB"/>
    <w:rsid w:val="008601D1"/>
    <w:rsid w:val="00863B1B"/>
    <w:rsid w:val="00864814"/>
    <w:rsid w:val="00871701"/>
    <w:rsid w:val="00873BF7"/>
    <w:rsid w:val="008751B6"/>
    <w:rsid w:val="0088287E"/>
    <w:rsid w:val="00891CD1"/>
    <w:rsid w:val="0089253D"/>
    <w:rsid w:val="0089736F"/>
    <w:rsid w:val="008A04C6"/>
    <w:rsid w:val="008A322E"/>
    <w:rsid w:val="008A6A56"/>
    <w:rsid w:val="008B1248"/>
    <w:rsid w:val="008B5FC9"/>
    <w:rsid w:val="008C280D"/>
    <w:rsid w:val="008C388E"/>
    <w:rsid w:val="008C3EFE"/>
    <w:rsid w:val="008D1468"/>
    <w:rsid w:val="008D3B88"/>
    <w:rsid w:val="008E3D1F"/>
    <w:rsid w:val="008E44BB"/>
    <w:rsid w:val="008E60AC"/>
    <w:rsid w:val="008E60C0"/>
    <w:rsid w:val="008E6109"/>
    <w:rsid w:val="008E75F0"/>
    <w:rsid w:val="008F545D"/>
    <w:rsid w:val="008F7274"/>
    <w:rsid w:val="00911DCE"/>
    <w:rsid w:val="00913793"/>
    <w:rsid w:val="009153F1"/>
    <w:rsid w:val="00915AD8"/>
    <w:rsid w:val="00915D1F"/>
    <w:rsid w:val="009233A4"/>
    <w:rsid w:val="0092415D"/>
    <w:rsid w:val="00926B6F"/>
    <w:rsid w:val="0093187A"/>
    <w:rsid w:val="0093331C"/>
    <w:rsid w:val="00935F8C"/>
    <w:rsid w:val="00936AF4"/>
    <w:rsid w:val="009370C0"/>
    <w:rsid w:val="00941672"/>
    <w:rsid w:val="009437CA"/>
    <w:rsid w:val="00943FA2"/>
    <w:rsid w:val="00944761"/>
    <w:rsid w:val="00946213"/>
    <w:rsid w:val="00950454"/>
    <w:rsid w:val="009509DE"/>
    <w:rsid w:val="00951343"/>
    <w:rsid w:val="009567DE"/>
    <w:rsid w:val="00970411"/>
    <w:rsid w:val="00975352"/>
    <w:rsid w:val="0098372C"/>
    <w:rsid w:val="00983962"/>
    <w:rsid w:val="00983CC9"/>
    <w:rsid w:val="009929DD"/>
    <w:rsid w:val="00997261"/>
    <w:rsid w:val="009A1727"/>
    <w:rsid w:val="009A1F26"/>
    <w:rsid w:val="009A4E1F"/>
    <w:rsid w:val="009A56F5"/>
    <w:rsid w:val="009A66CA"/>
    <w:rsid w:val="009A7529"/>
    <w:rsid w:val="009B3B38"/>
    <w:rsid w:val="009B4D50"/>
    <w:rsid w:val="009C0B41"/>
    <w:rsid w:val="009C2F0E"/>
    <w:rsid w:val="009C3F5D"/>
    <w:rsid w:val="009C46C0"/>
    <w:rsid w:val="009C4E18"/>
    <w:rsid w:val="009C64E2"/>
    <w:rsid w:val="009D0E8E"/>
    <w:rsid w:val="009D7619"/>
    <w:rsid w:val="009E1494"/>
    <w:rsid w:val="009E5CE6"/>
    <w:rsid w:val="009F24B6"/>
    <w:rsid w:val="009F760B"/>
    <w:rsid w:val="00A002C6"/>
    <w:rsid w:val="00A05BA4"/>
    <w:rsid w:val="00A06275"/>
    <w:rsid w:val="00A07347"/>
    <w:rsid w:val="00A16276"/>
    <w:rsid w:val="00A17515"/>
    <w:rsid w:val="00A17F72"/>
    <w:rsid w:val="00A26589"/>
    <w:rsid w:val="00A30FAF"/>
    <w:rsid w:val="00A3498F"/>
    <w:rsid w:val="00A35CAB"/>
    <w:rsid w:val="00A37409"/>
    <w:rsid w:val="00A4116B"/>
    <w:rsid w:val="00A44284"/>
    <w:rsid w:val="00A44A7C"/>
    <w:rsid w:val="00A5072B"/>
    <w:rsid w:val="00A560D1"/>
    <w:rsid w:val="00A61472"/>
    <w:rsid w:val="00A626DB"/>
    <w:rsid w:val="00A62F31"/>
    <w:rsid w:val="00A63BAA"/>
    <w:rsid w:val="00A65EBC"/>
    <w:rsid w:val="00A704C5"/>
    <w:rsid w:val="00A7068E"/>
    <w:rsid w:val="00A7098D"/>
    <w:rsid w:val="00A73AFC"/>
    <w:rsid w:val="00A76E29"/>
    <w:rsid w:val="00A81A9F"/>
    <w:rsid w:val="00A869F9"/>
    <w:rsid w:val="00A908C0"/>
    <w:rsid w:val="00A94601"/>
    <w:rsid w:val="00A95869"/>
    <w:rsid w:val="00A966FD"/>
    <w:rsid w:val="00AA27BE"/>
    <w:rsid w:val="00AB29AF"/>
    <w:rsid w:val="00AB73F3"/>
    <w:rsid w:val="00AB7CB5"/>
    <w:rsid w:val="00AC0A7A"/>
    <w:rsid w:val="00AC5F16"/>
    <w:rsid w:val="00AC7DD5"/>
    <w:rsid w:val="00AD00B1"/>
    <w:rsid w:val="00AD03B8"/>
    <w:rsid w:val="00AD16C3"/>
    <w:rsid w:val="00AD2114"/>
    <w:rsid w:val="00AD46E5"/>
    <w:rsid w:val="00AD6FF2"/>
    <w:rsid w:val="00AD7271"/>
    <w:rsid w:val="00AD757A"/>
    <w:rsid w:val="00AD757D"/>
    <w:rsid w:val="00AD7DEF"/>
    <w:rsid w:val="00AE5AA3"/>
    <w:rsid w:val="00AF0C12"/>
    <w:rsid w:val="00AF4AB9"/>
    <w:rsid w:val="00AF5172"/>
    <w:rsid w:val="00AF6321"/>
    <w:rsid w:val="00B010A4"/>
    <w:rsid w:val="00B03ED5"/>
    <w:rsid w:val="00B063E0"/>
    <w:rsid w:val="00B12FAF"/>
    <w:rsid w:val="00B1706B"/>
    <w:rsid w:val="00B20729"/>
    <w:rsid w:val="00B2114C"/>
    <w:rsid w:val="00B21652"/>
    <w:rsid w:val="00B2379D"/>
    <w:rsid w:val="00B25737"/>
    <w:rsid w:val="00B25AF3"/>
    <w:rsid w:val="00B32A4F"/>
    <w:rsid w:val="00B35519"/>
    <w:rsid w:val="00B364FB"/>
    <w:rsid w:val="00B37744"/>
    <w:rsid w:val="00B458EE"/>
    <w:rsid w:val="00B46055"/>
    <w:rsid w:val="00B46B1A"/>
    <w:rsid w:val="00B5408F"/>
    <w:rsid w:val="00B54A51"/>
    <w:rsid w:val="00B54F74"/>
    <w:rsid w:val="00B615C0"/>
    <w:rsid w:val="00B6284A"/>
    <w:rsid w:val="00B650A7"/>
    <w:rsid w:val="00B65C00"/>
    <w:rsid w:val="00B66344"/>
    <w:rsid w:val="00B74D01"/>
    <w:rsid w:val="00B75950"/>
    <w:rsid w:val="00B81575"/>
    <w:rsid w:val="00B81D3D"/>
    <w:rsid w:val="00B91269"/>
    <w:rsid w:val="00B91592"/>
    <w:rsid w:val="00B92EF5"/>
    <w:rsid w:val="00B93A84"/>
    <w:rsid w:val="00B9685E"/>
    <w:rsid w:val="00B97660"/>
    <w:rsid w:val="00BA33F1"/>
    <w:rsid w:val="00BA38E6"/>
    <w:rsid w:val="00BA7C00"/>
    <w:rsid w:val="00BB22E9"/>
    <w:rsid w:val="00BB385A"/>
    <w:rsid w:val="00BC0224"/>
    <w:rsid w:val="00BC293E"/>
    <w:rsid w:val="00BC7BD3"/>
    <w:rsid w:val="00BD13A6"/>
    <w:rsid w:val="00BD41F3"/>
    <w:rsid w:val="00BD67E8"/>
    <w:rsid w:val="00BE7440"/>
    <w:rsid w:val="00BF25AD"/>
    <w:rsid w:val="00BF6137"/>
    <w:rsid w:val="00C00A1E"/>
    <w:rsid w:val="00C03B3B"/>
    <w:rsid w:val="00C04367"/>
    <w:rsid w:val="00C05619"/>
    <w:rsid w:val="00C10209"/>
    <w:rsid w:val="00C111DC"/>
    <w:rsid w:val="00C1329C"/>
    <w:rsid w:val="00C14E26"/>
    <w:rsid w:val="00C1624B"/>
    <w:rsid w:val="00C16420"/>
    <w:rsid w:val="00C17CD0"/>
    <w:rsid w:val="00C2063D"/>
    <w:rsid w:val="00C22FA3"/>
    <w:rsid w:val="00C23E38"/>
    <w:rsid w:val="00C24F70"/>
    <w:rsid w:val="00C26080"/>
    <w:rsid w:val="00C2616D"/>
    <w:rsid w:val="00C26AC8"/>
    <w:rsid w:val="00C347B8"/>
    <w:rsid w:val="00C36298"/>
    <w:rsid w:val="00C36A78"/>
    <w:rsid w:val="00C37024"/>
    <w:rsid w:val="00C37DB0"/>
    <w:rsid w:val="00C46EFC"/>
    <w:rsid w:val="00C50AA1"/>
    <w:rsid w:val="00C521D3"/>
    <w:rsid w:val="00C52C6B"/>
    <w:rsid w:val="00C54F2B"/>
    <w:rsid w:val="00C55D28"/>
    <w:rsid w:val="00C56E09"/>
    <w:rsid w:val="00C5732B"/>
    <w:rsid w:val="00C610A6"/>
    <w:rsid w:val="00C62908"/>
    <w:rsid w:val="00C63FF7"/>
    <w:rsid w:val="00C67366"/>
    <w:rsid w:val="00C71AE1"/>
    <w:rsid w:val="00C72179"/>
    <w:rsid w:val="00C72698"/>
    <w:rsid w:val="00C735AD"/>
    <w:rsid w:val="00C736AB"/>
    <w:rsid w:val="00C75684"/>
    <w:rsid w:val="00C76750"/>
    <w:rsid w:val="00C80CDB"/>
    <w:rsid w:val="00C83F52"/>
    <w:rsid w:val="00C85349"/>
    <w:rsid w:val="00C86D0F"/>
    <w:rsid w:val="00C90FB9"/>
    <w:rsid w:val="00C910CE"/>
    <w:rsid w:val="00C921AA"/>
    <w:rsid w:val="00C952CE"/>
    <w:rsid w:val="00C9717A"/>
    <w:rsid w:val="00C97E8D"/>
    <w:rsid w:val="00CA3C5A"/>
    <w:rsid w:val="00CA5B8E"/>
    <w:rsid w:val="00CB0619"/>
    <w:rsid w:val="00CB08FF"/>
    <w:rsid w:val="00CB6879"/>
    <w:rsid w:val="00CC2002"/>
    <w:rsid w:val="00CC41A8"/>
    <w:rsid w:val="00CC41FD"/>
    <w:rsid w:val="00CC4FC7"/>
    <w:rsid w:val="00CC52B6"/>
    <w:rsid w:val="00CC617A"/>
    <w:rsid w:val="00CC75D5"/>
    <w:rsid w:val="00CD30E7"/>
    <w:rsid w:val="00CD363A"/>
    <w:rsid w:val="00CD55AF"/>
    <w:rsid w:val="00CD5C12"/>
    <w:rsid w:val="00CD6A44"/>
    <w:rsid w:val="00CF0C46"/>
    <w:rsid w:val="00CF3696"/>
    <w:rsid w:val="00CF5938"/>
    <w:rsid w:val="00CF6C9D"/>
    <w:rsid w:val="00CF75FA"/>
    <w:rsid w:val="00D02ADF"/>
    <w:rsid w:val="00D02B8F"/>
    <w:rsid w:val="00D031D4"/>
    <w:rsid w:val="00D045C7"/>
    <w:rsid w:val="00D058D8"/>
    <w:rsid w:val="00D06CE7"/>
    <w:rsid w:val="00D11513"/>
    <w:rsid w:val="00D17EA8"/>
    <w:rsid w:val="00D17F8E"/>
    <w:rsid w:val="00D22036"/>
    <w:rsid w:val="00D23B91"/>
    <w:rsid w:val="00D25162"/>
    <w:rsid w:val="00D26858"/>
    <w:rsid w:val="00D31D50"/>
    <w:rsid w:val="00D362F2"/>
    <w:rsid w:val="00D36ACA"/>
    <w:rsid w:val="00D410C8"/>
    <w:rsid w:val="00D4662C"/>
    <w:rsid w:val="00D54970"/>
    <w:rsid w:val="00D54C5E"/>
    <w:rsid w:val="00D575DD"/>
    <w:rsid w:val="00D67B62"/>
    <w:rsid w:val="00D713D4"/>
    <w:rsid w:val="00D731CC"/>
    <w:rsid w:val="00D84831"/>
    <w:rsid w:val="00D84E0B"/>
    <w:rsid w:val="00D91878"/>
    <w:rsid w:val="00D95D17"/>
    <w:rsid w:val="00DA4959"/>
    <w:rsid w:val="00DB0642"/>
    <w:rsid w:val="00DB21E3"/>
    <w:rsid w:val="00DB2B76"/>
    <w:rsid w:val="00DC1563"/>
    <w:rsid w:val="00DC5DBF"/>
    <w:rsid w:val="00DD2DF1"/>
    <w:rsid w:val="00DD5008"/>
    <w:rsid w:val="00DE1FEB"/>
    <w:rsid w:val="00DE243F"/>
    <w:rsid w:val="00DE76BD"/>
    <w:rsid w:val="00DF025C"/>
    <w:rsid w:val="00DF0E7C"/>
    <w:rsid w:val="00DF26F6"/>
    <w:rsid w:val="00DF5440"/>
    <w:rsid w:val="00DF5DE5"/>
    <w:rsid w:val="00E01A29"/>
    <w:rsid w:val="00E0272D"/>
    <w:rsid w:val="00E04AE1"/>
    <w:rsid w:val="00E110B6"/>
    <w:rsid w:val="00E112E0"/>
    <w:rsid w:val="00E167E6"/>
    <w:rsid w:val="00E17BC6"/>
    <w:rsid w:val="00E17DBA"/>
    <w:rsid w:val="00E266B2"/>
    <w:rsid w:val="00E27F82"/>
    <w:rsid w:val="00E31FE4"/>
    <w:rsid w:val="00E3429E"/>
    <w:rsid w:val="00E35A66"/>
    <w:rsid w:val="00E366DD"/>
    <w:rsid w:val="00E427CE"/>
    <w:rsid w:val="00E430CF"/>
    <w:rsid w:val="00E476C5"/>
    <w:rsid w:val="00E515DD"/>
    <w:rsid w:val="00E522CC"/>
    <w:rsid w:val="00E55402"/>
    <w:rsid w:val="00E5635E"/>
    <w:rsid w:val="00E57989"/>
    <w:rsid w:val="00E61607"/>
    <w:rsid w:val="00E62EF4"/>
    <w:rsid w:val="00E65877"/>
    <w:rsid w:val="00E660B9"/>
    <w:rsid w:val="00E723EE"/>
    <w:rsid w:val="00E825F1"/>
    <w:rsid w:val="00E836C6"/>
    <w:rsid w:val="00E864AE"/>
    <w:rsid w:val="00E8694A"/>
    <w:rsid w:val="00E86DA9"/>
    <w:rsid w:val="00E877C8"/>
    <w:rsid w:val="00E87CEE"/>
    <w:rsid w:val="00E87D78"/>
    <w:rsid w:val="00E90931"/>
    <w:rsid w:val="00E92373"/>
    <w:rsid w:val="00E95187"/>
    <w:rsid w:val="00EA3D9B"/>
    <w:rsid w:val="00EA4D30"/>
    <w:rsid w:val="00EA5AB0"/>
    <w:rsid w:val="00EA62C3"/>
    <w:rsid w:val="00EB31D5"/>
    <w:rsid w:val="00EB5B87"/>
    <w:rsid w:val="00EB60EF"/>
    <w:rsid w:val="00EC7099"/>
    <w:rsid w:val="00ED0329"/>
    <w:rsid w:val="00ED2FCB"/>
    <w:rsid w:val="00ED3625"/>
    <w:rsid w:val="00ED6D9D"/>
    <w:rsid w:val="00ED78E3"/>
    <w:rsid w:val="00EE02BC"/>
    <w:rsid w:val="00EE0707"/>
    <w:rsid w:val="00EE1DEA"/>
    <w:rsid w:val="00EF0B2F"/>
    <w:rsid w:val="00EF29B7"/>
    <w:rsid w:val="00EF6149"/>
    <w:rsid w:val="00EF6D23"/>
    <w:rsid w:val="00F01122"/>
    <w:rsid w:val="00F03264"/>
    <w:rsid w:val="00F05D05"/>
    <w:rsid w:val="00F13EF7"/>
    <w:rsid w:val="00F14F81"/>
    <w:rsid w:val="00F20D08"/>
    <w:rsid w:val="00F21545"/>
    <w:rsid w:val="00F33329"/>
    <w:rsid w:val="00F35A7F"/>
    <w:rsid w:val="00F35F2B"/>
    <w:rsid w:val="00F36B62"/>
    <w:rsid w:val="00F40F10"/>
    <w:rsid w:val="00F43A08"/>
    <w:rsid w:val="00F47580"/>
    <w:rsid w:val="00F5191C"/>
    <w:rsid w:val="00F51FCD"/>
    <w:rsid w:val="00F52310"/>
    <w:rsid w:val="00F52F7F"/>
    <w:rsid w:val="00F53412"/>
    <w:rsid w:val="00F63720"/>
    <w:rsid w:val="00F70A48"/>
    <w:rsid w:val="00F73718"/>
    <w:rsid w:val="00F75927"/>
    <w:rsid w:val="00F7649B"/>
    <w:rsid w:val="00F82D75"/>
    <w:rsid w:val="00F86E55"/>
    <w:rsid w:val="00F9266D"/>
    <w:rsid w:val="00FA0591"/>
    <w:rsid w:val="00FA0E2E"/>
    <w:rsid w:val="00FA0FB1"/>
    <w:rsid w:val="00FA3F13"/>
    <w:rsid w:val="00FA438C"/>
    <w:rsid w:val="00FA4557"/>
    <w:rsid w:val="00FA64F5"/>
    <w:rsid w:val="00FA795A"/>
    <w:rsid w:val="00FB0E89"/>
    <w:rsid w:val="00FB16A7"/>
    <w:rsid w:val="00FB3576"/>
    <w:rsid w:val="00FB7789"/>
    <w:rsid w:val="00FB7D35"/>
    <w:rsid w:val="00FC4391"/>
    <w:rsid w:val="00FC530B"/>
    <w:rsid w:val="00FC5E19"/>
    <w:rsid w:val="00FC7104"/>
    <w:rsid w:val="00FD01F4"/>
    <w:rsid w:val="00FE2223"/>
    <w:rsid w:val="00FE4FEF"/>
    <w:rsid w:val="00FE5A4C"/>
    <w:rsid w:val="00FE7143"/>
    <w:rsid w:val="00FF399F"/>
    <w:rsid w:val="00FF412E"/>
    <w:rsid w:val="00FF599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7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601D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C736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363"/>
  </w:style>
  <w:style w:type="paragraph" w:styleId="a6">
    <w:name w:val="footer"/>
    <w:basedOn w:val="a"/>
    <w:link w:val="a7"/>
    <w:uiPriority w:val="99"/>
    <w:unhideWhenUsed/>
    <w:rsid w:val="000C736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363"/>
  </w:style>
  <w:style w:type="paragraph" w:customStyle="1" w:styleId="a8">
    <w:name w:val="Обычный в таблице"/>
    <w:basedOn w:val="a"/>
    <w:rsid w:val="009509DE"/>
    <w:pPr>
      <w:spacing w:before="120" w:line="240" w:lineRule="auto"/>
      <w:jc w:val="righ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B4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4A9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F26F6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C7B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бычный по правому краю (титульный лист)"/>
    <w:basedOn w:val="a"/>
    <w:rsid w:val="00AD757A"/>
    <w:pPr>
      <w:spacing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Заголовок отчета"/>
    <w:basedOn w:val="a"/>
    <w:rsid w:val="00092ABA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7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601D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C736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7363"/>
  </w:style>
  <w:style w:type="paragraph" w:styleId="a6">
    <w:name w:val="footer"/>
    <w:basedOn w:val="a"/>
    <w:link w:val="a7"/>
    <w:uiPriority w:val="99"/>
    <w:unhideWhenUsed/>
    <w:rsid w:val="000C736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7363"/>
  </w:style>
  <w:style w:type="paragraph" w:customStyle="1" w:styleId="a8">
    <w:name w:val="Обычный в таблице"/>
    <w:basedOn w:val="a"/>
    <w:rsid w:val="009509DE"/>
    <w:pPr>
      <w:spacing w:before="120" w:line="240" w:lineRule="auto"/>
      <w:jc w:val="righ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B4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4A9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F26F6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C7BD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Обычный по правому краю (титульный лист)"/>
    <w:basedOn w:val="a"/>
    <w:rsid w:val="00AD757A"/>
    <w:pPr>
      <w:spacing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Заголовок отчета"/>
    <w:basedOn w:val="a"/>
    <w:rsid w:val="00092ABA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6573C5C6981D51A71E512A87E32ACFE288CB95024B2CCA8ADD8A52CFA493040C292A5FB18978E2eDe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2B1FA-8117-46F1-ACD2-044FEAE7B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13</Pages>
  <Words>4426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МЕЛЮХИН ИГОРЬ СЕРАФИМОВИЧ</dc:creator>
  <cp:lastModifiedBy>МЕЛЮХИН ИГОРЬ СЕРАФИМОВИЧ</cp:lastModifiedBy>
  <cp:revision>13</cp:revision>
  <cp:lastPrinted>2012-06-26T13:50:00Z</cp:lastPrinted>
  <dcterms:created xsi:type="dcterms:W3CDTF">2012-07-24T07:33:00Z</dcterms:created>
  <dcterms:modified xsi:type="dcterms:W3CDTF">2012-08-02T14:13:00Z</dcterms:modified>
</cp:coreProperties>
</file>